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E90F1" w14:textId="77777777" w:rsidR="006A503B" w:rsidRPr="003235D0" w:rsidRDefault="006A503B" w:rsidP="001507EA">
      <w:pPr>
        <w:spacing w:after="0" w:line="276" w:lineRule="auto"/>
        <w:jc w:val="both"/>
        <w:rPr>
          <w:rFonts w:cstheme="minorHAnsi"/>
          <w:b/>
          <w:sz w:val="28"/>
          <w:szCs w:val="24"/>
          <w:lang w:val="en-GB"/>
        </w:rPr>
      </w:pPr>
      <w:r w:rsidRPr="003235D0">
        <w:rPr>
          <w:rFonts w:cstheme="minorHAnsi"/>
          <w:b/>
          <w:bCs/>
          <w:sz w:val="28"/>
          <w:szCs w:val="24"/>
          <w:lang w:val="en-GB"/>
        </w:rPr>
        <w:t xml:space="preserve">Requirements in the scope of documentation necessary for the attestation process of </w:t>
      </w:r>
      <w:r w:rsidRPr="003235D0">
        <w:rPr>
          <w:rFonts w:cstheme="minorHAnsi"/>
          <w:b/>
          <w:bCs/>
          <w:sz w:val="28"/>
          <w:lang w:val="en-GB"/>
        </w:rPr>
        <w:t>p</w:t>
      </w:r>
      <w:r w:rsidRPr="003235D0">
        <w:rPr>
          <w:rFonts w:cstheme="minorHAnsi"/>
          <w:b/>
          <w:bCs/>
          <w:sz w:val="28"/>
          <w:szCs w:val="24"/>
          <w:lang w:val="en-GB"/>
        </w:rPr>
        <w:t>roducts coming into contact with water intended for human consumption.</w:t>
      </w:r>
    </w:p>
    <w:p w14:paraId="08EB4658" w14:textId="77777777" w:rsidR="006A503B" w:rsidRPr="003235D0" w:rsidRDefault="006A503B" w:rsidP="000B535B">
      <w:pPr>
        <w:spacing w:after="0" w:line="276" w:lineRule="auto"/>
        <w:rPr>
          <w:rFonts w:cstheme="minorHAnsi"/>
          <w:sz w:val="24"/>
          <w:szCs w:val="24"/>
          <w:lang w:val="en-GB"/>
        </w:rPr>
      </w:pPr>
    </w:p>
    <w:p w14:paraId="44F65AD0" w14:textId="3C9BFDA5" w:rsidR="004D4A95" w:rsidRPr="003235D0" w:rsidRDefault="004D4A95" w:rsidP="000B535B">
      <w:pPr>
        <w:spacing w:after="0" w:line="276" w:lineRule="auto"/>
        <w:rPr>
          <w:rFonts w:cstheme="minorHAnsi"/>
          <w:sz w:val="24"/>
          <w:szCs w:val="24"/>
          <w:lang w:val="en-GB"/>
        </w:rPr>
      </w:pPr>
      <w:r w:rsidRPr="003235D0">
        <w:rPr>
          <w:rFonts w:cstheme="minorHAnsi"/>
          <w:sz w:val="24"/>
          <w:szCs w:val="24"/>
          <w:lang w:val="en-GB"/>
        </w:rPr>
        <w:t>Material composition of a product can be provided in the form of a declaration (</w:t>
      </w:r>
      <w:hyperlink r:id="rId5" w:history="1">
        <w:r w:rsidRPr="007C37C8">
          <w:rPr>
            <w:rStyle w:val="Hipercze"/>
            <w:rFonts w:cstheme="minorHAnsi"/>
            <w:b/>
            <w:bCs/>
            <w:sz w:val="24"/>
            <w:szCs w:val="24"/>
            <w:lang w:val="en-GB"/>
          </w:rPr>
          <w:t>appendix no. 2</w:t>
        </w:r>
      </w:hyperlink>
      <w:r w:rsidRPr="003235D0">
        <w:rPr>
          <w:rFonts w:cstheme="minorHAnsi"/>
          <w:sz w:val="24"/>
          <w:szCs w:val="24"/>
          <w:lang w:val="en-GB"/>
        </w:rPr>
        <w:t>).</w:t>
      </w:r>
    </w:p>
    <w:p w14:paraId="3A06A3EC" w14:textId="77777777" w:rsidR="004D4A95" w:rsidRPr="003235D0" w:rsidRDefault="004D4A95" w:rsidP="000B535B">
      <w:pPr>
        <w:spacing w:after="0" w:line="276" w:lineRule="auto"/>
        <w:rPr>
          <w:rFonts w:cstheme="minorHAnsi"/>
          <w:sz w:val="24"/>
          <w:szCs w:val="24"/>
          <w:lang w:val="en-GB"/>
        </w:rPr>
      </w:pPr>
    </w:p>
    <w:p w14:paraId="2BCB5DB7" w14:textId="77777777" w:rsidR="006A503B" w:rsidRPr="003235D0" w:rsidRDefault="00F24889" w:rsidP="006A503B">
      <w:pPr>
        <w:pStyle w:val="Akapitzlist"/>
        <w:numPr>
          <w:ilvl w:val="0"/>
          <w:numId w:val="2"/>
        </w:numPr>
        <w:spacing w:after="0" w:line="276" w:lineRule="auto"/>
        <w:ind w:left="284" w:hanging="284"/>
        <w:jc w:val="both"/>
        <w:rPr>
          <w:rFonts w:cstheme="minorHAnsi"/>
          <w:sz w:val="24"/>
          <w:szCs w:val="24"/>
          <w:lang w:val="en-GB"/>
        </w:rPr>
      </w:pPr>
      <w:r w:rsidRPr="003235D0">
        <w:rPr>
          <w:rFonts w:cstheme="minorHAnsi"/>
          <w:sz w:val="24"/>
          <w:szCs w:val="24"/>
          <w:lang w:val="en-GB"/>
        </w:rPr>
        <w:t xml:space="preserve">for </w:t>
      </w:r>
      <w:r w:rsidRPr="003235D0">
        <w:rPr>
          <w:rFonts w:cstheme="minorHAnsi"/>
          <w:b/>
          <w:bCs/>
          <w:sz w:val="24"/>
          <w:szCs w:val="24"/>
          <w:lang w:val="en-GB"/>
        </w:rPr>
        <w:t>metal materials</w:t>
      </w:r>
      <w:r w:rsidRPr="003235D0">
        <w:rPr>
          <w:rFonts w:cstheme="minorHAnsi"/>
          <w:sz w:val="24"/>
          <w:szCs w:val="24"/>
          <w:lang w:val="en-GB"/>
        </w:rPr>
        <w:t xml:space="preserve"> </w:t>
      </w:r>
    </w:p>
    <w:p w14:paraId="33D70C2C" w14:textId="77777777" w:rsidR="006A503B" w:rsidRPr="003235D0" w:rsidRDefault="006A503B" w:rsidP="006A503B">
      <w:pPr>
        <w:spacing w:after="0" w:line="276" w:lineRule="auto"/>
        <w:jc w:val="both"/>
        <w:rPr>
          <w:rFonts w:cstheme="minorHAnsi"/>
          <w:sz w:val="24"/>
          <w:szCs w:val="24"/>
          <w:lang w:val="en-GB"/>
        </w:rPr>
      </w:pPr>
      <w:r w:rsidRPr="003235D0">
        <w:rPr>
          <w:rFonts w:cstheme="minorHAnsi"/>
          <w:sz w:val="24"/>
          <w:szCs w:val="24"/>
          <w:lang w:val="en-GB"/>
        </w:rPr>
        <w:t xml:space="preserve">    – information on the alloy grade and its percentage composition,</w:t>
      </w:r>
    </w:p>
    <w:p w14:paraId="5BFAD3E4" w14:textId="77777777" w:rsidR="006A503B" w:rsidRPr="003235D0" w:rsidRDefault="006A503B" w:rsidP="006A503B">
      <w:pPr>
        <w:spacing w:after="0" w:line="276" w:lineRule="auto"/>
        <w:rPr>
          <w:rFonts w:cstheme="minorHAnsi"/>
          <w:sz w:val="24"/>
          <w:szCs w:val="24"/>
          <w:lang w:val="en-GB"/>
        </w:rPr>
      </w:pPr>
      <w:r w:rsidRPr="003235D0">
        <w:rPr>
          <w:rFonts w:cstheme="minorHAnsi"/>
          <w:b/>
          <w:bCs/>
          <w:sz w:val="24"/>
          <w:szCs w:val="24"/>
          <w:lang w:val="en-GB"/>
        </w:rPr>
        <w:t xml:space="preserve">     </w:t>
      </w:r>
      <w:r w:rsidRPr="003235D0">
        <w:rPr>
          <w:rFonts w:cstheme="minorHAnsi"/>
          <w:sz w:val="24"/>
          <w:szCs w:val="24"/>
          <w:lang w:val="en-GB"/>
        </w:rPr>
        <w:t>– in the case of zinc coating  the result of tests on the composition of final zinc coating or</w:t>
      </w:r>
    </w:p>
    <w:p w14:paraId="409FBED9" w14:textId="77777777" w:rsidR="006A503B" w:rsidRPr="003235D0" w:rsidRDefault="006A503B" w:rsidP="006A503B">
      <w:pPr>
        <w:spacing w:after="0" w:line="276" w:lineRule="auto"/>
        <w:rPr>
          <w:rFonts w:cstheme="minorHAnsi"/>
          <w:b/>
          <w:sz w:val="24"/>
          <w:szCs w:val="24"/>
          <w:lang w:val="en-GB"/>
        </w:rPr>
      </w:pPr>
      <w:r w:rsidRPr="003235D0">
        <w:rPr>
          <w:rFonts w:cstheme="minorHAnsi"/>
          <w:sz w:val="24"/>
          <w:szCs w:val="24"/>
          <w:lang w:val="en-GB"/>
        </w:rPr>
        <w:t xml:space="preserve">     metal migration tests.</w:t>
      </w:r>
    </w:p>
    <w:p w14:paraId="4B696FAF" w14:textId="77777777" w:rsidR="006A503B" w:rsidRPr="003235D0" w:rsidRDefault="00F24889" w:rsidP="006A503B">
      <w:pPr>
        <w:spacing w:after="0" w:line="276" w:lineRule="auto"/>
        <w:jc w:val="both"/>
        <w:rPr>
          <w:rFonts w:cstheme="minorHAnsi"/>
          <w:sz w:val="24"/>
          <w:szCs w:val="24"/>
          <w:lang w:val="en-GB"/>
        </w:rPr>
      </w:pPr>
      <w:r w:rsidRPr="003235D0">
        <w:rPr>
          <w:rFonts w:cstheme="minorHAnsi"/>
          <w:sz w:val="24"/>
          <w:szCs w:val="24"/>
          <w:lang w:val="en-GB"/>
        </w:rPr>
        <w:t xml:space="preserve"> </w:t>
      </w:r>
    </w:p>
    <w:p w14:paraId="26EE7926" w14:textId="77777777" w:rsidR="006A503B" w:rsidRPr="003235D0" w:rsidRDefault="006A503B" w:rsidP="006A503B">
      <w:pPr>
        <w:spacing w:after="0" w:line="276" w:lineRule="auto"/>
        <w:rPr>
          <w:rFonts w:cstheme="minorHAnsi"/>
          <w:b/>
          <w:lang w:val="en-GB"/>
        </w:rPr>
      </w:pPr>
      <w:r w:rsidRPr="003235D0">
        <w:rPr>
          <w:rFonts w:cstheme="minorHAnsi"/>
          <w:b/>
          <w:bCs/>
          <w:lang w:val="en-GB"/>
        </w:rPr>
        <w:t xml:space="preserve">Note: </w:t>
      </w:r>
    </w:p>
    <w:p w14:paraId="25AA61DA" w14:textId="77777777" w:rsidR="006A503B" w:rsidRPr="003235D0" w:rsidRDefault="006A503B" w:rsidP="006A503B">
      <w:pPr>
        <w:spacing w:after="0" w:line="276" w:lineRule="auto"/>
        <w:jc w:val="both"/>
        <w:rPr>
          <w:rFonts w:cstheme="minorHAnsi"/>
          <w:color w:val="7030A0"/>
          <w:sz w:val="20"/>
          <w:lang w:val="en-GB"/>
        </w:rPr>
      </w:pPr>
      <w:r w:rsidRPr="003235D0">
        <w:rPr>
          <w:rFonts w:cstheme="minorHAnsi"/>
          <w:sz w:val="20"/>
          <w:lang w:val="en-GB"/>
        </w:rPr>
        <w:t>metal materials must be compliant with the requirements specified as part of 4MS system, plastics composition should be compliant with the requirements of the Commissi</w:t>
      </w:r>
      <w:r w:rsidR="00A36705">
        <w:rPr>
          <w:rFonts w:cstheme="minorHAnsi"/>
          <w:sz w:val="20"/>
          <w:lang w:val="en-GB"/>
        </w:rPr>
        <w:t>on Regulation (EU) No 10/2011</w:t>
      </w:r>
      <w:r w:rsidRPr="003235D0">
        <w:rPr>
          <w:rFonts w:cstheme="minorHAnsi"/>
          <w:sz w:val="20"/>
          <w:lang w:val="en-GB"/>
        </w:rPr>
        <w:t xml:space="preserve"> of 14 January 2011 on plastic materials and articles intended to come into contact with food (OJ L 12 of 15 January 2011, p.1, as amended) and Regulation (EC) No 1935/2004 of the European Parliament and of the Council of 27 October 2004  on materials and articles intended to come into contact with food and repealing Directives 80/590/EEC  and 89/109/EEC, pp 4–17. </w:t>
      </w:r>
    </w:p>
    <w:p w14:paraId="1478A0C5" w14:textId="77777777" w:rsidR="00F24889" w:rsidRPr="003235D0" w:rsidRDefault="00F24889" w:rsidP="006A503B">
      <w:pPr>
        <w:spacing w:after="0" w:line="276" w:lineRule="auto"/>
        <w:jc w:val="both"/>
        <w:rPr>
          <w:rFonts w:cstheme="minorHAnsi"/>
          <w:sz w:val="24"/>
          <w:szCs w:val="24"/>
          <w:lang w:val="en-GB"/>
        </w:rPr>
      </w:pPr>
    </w:p>
    <w:p w14:paraId="72BC5E5C" w14:textId="77777777" w:rsidR="00620656" w:rsidRPr="003235D0" w:rsidRDefault="00F24889" w:rsidP="000B535B">
      <w:pPr>
        <w:pStyle w:val="Akapitzlist"/>
        <w:numPr>
          <w:ilvl w:val="0"/>
          <w:numId w:val="2"/>
        </w:numPr>
        <w:spacing w:after="0" w:line="276" w:lineRule="auto"/>
        <w:ind w:left="284" w:hanging="284"/>
        <w:rPr>
          <w:rFonts w:cstheme="minorHAnsi"/>
          <w:sz w:val="24"/>
          <w:szCs w:val="24"/>
          <w:lang w:val="en-GB"/>
        </w:rPr>
      </w:pPr>
      <w:r w:rsidRPr="003235D0">
        <w:rPr>
          <w:rFonts w:cstheme="minorHAnsi"/>
          <w:sz w:val="24"/>
          <w:szCs w:val="24"/>
          <w:lang w:val="en-GB"/>
        </w:rPr>
        <w:t xml:space="preserve">for </w:t>
      </w:r>
      <w:r w:rsidRPr="003235D0">
        <w:rPr>
          <w:rFonts w:cstheme="minorHAnsi"/>
          <w:b/>
          <w:bCs/>
          <w:sz w:val="24"/>
          <w:szCs w:val="24"/>
          <w:lang w:val="en-GB"/>
        </w:rPr>
        <w:t>organic materials</w:t>
      </w:r>
      <w:r w:rsidRPr="003235D0">
        <w:rPr>
          <w:rFonts w:cstheme="minorHAnsi"/>
          <w:sz w:val="24"/>
          <w:szCs w:val="24"/>
          <w:lang w:val="en-GB"/>
        </w:rPr>
        <w:t xml:space="preserve"> </w:t>
      </w:r>
    </w:p>
    <w:p w14:paraId="3F7CE37C" w14:textId="77777777" w:rsidR="00620656" w:rsidRPr="003235D0" w:rsidRDefault="00F24889" w:rsidP="00620656">
      <w:pPr>
        <w:pStyle w:val="Akapitzlist"/>
        <w:spacing w:after="0" w:line="276" w:lineRule="auto"/>
        <w:ind w:left="284"/>
        <w:rPr>
          <w:rFonts w:cstheme="minorHAnsi"/>
          <w:sz w:val="24"/>
          <w:szCs w:val="24"/>
          <w:lang w:val="en-GB"/>
        </w:rPr>
      </w:pPr>
      <w:r w:rsidRPr="003235D0">
        <w:rPr>
          <w:rFonts w:cstheme="minorHAnsi"/>
          <w:sz w:val="24"/>
          <w:szCs w:val="24"/>
          <w:lang w:val="en-GB"/>
        </w:rPr>
        <w:t>– data for each component: chemical name, CAS no., trade name (if applicable), name and address of manufacturer, safety data sheet;</w:t>
      </w:r>
    </w:p>
    <w:p w14:paraId="352FF3D3" w14:textId="2E47DA2D" w:rsidR="00620656" w:rsidRPr="003235D0" w:rsidRDefault="00620656" w:rsidP="00620656">
      <w:pPr>
        <w:spacing w:after="0" w:line="276" w:lineRule="auto"/>
        <w:ind w:left="284"/>
        <w:rPr>
          <w:rFonts w:cstheme="minorHAnsi"/>
          <w:sz w:val="24"/>
          <w:szCs w:val="24"/>
          <w:lang w:val="en-GB"/>
        </w:rPr>
      </w:pPr>
      <w:r w:rsidRPr="003235D0">
        <w:rPr>
          <w:rFonts w:cstheme="minorHAnsi"/>
          <w:sz w:val="24"/>
          <w:szCs w:val="24"/>
          <w:lang w:val="en-GB"/>
        </w:rPr>
        <w:t>– declaration on non-application of prohibited substances in the light of applicable legal regulations (</w:t>
      </w:r>
      <w:hyperlink r:id="rId6" w:history="1">
        <w:r w:rsidRPr="007C37C8">
          <w:rPr>
            <w:rStyle w:val="Hipercze"/>
            <w:rFonts w:cstheme="minorHAnsi"/>
            <w:b/>
            <w:bCs/>
            <w:sz w:val="24"/>
            <w:szCs w:val="24"/>
            <w:lang w:val="en-GB"/>
          </w:rPr>
          <w:t>appendix no. 3</w:t>
        </w:r>
      </w:hyperlink>
      <w:r w:rsidRPr="003235D0">
        <w:rPr>
          <w:rFonts w:cstheme="minorHAnsi"/>
          <w:sz w:val="24"/>
          <w:szCs w:val="24"/>
          <w:lang w:val="en-GB"/>
        </w:rPr>
        <w:t>)</w:t>
      </w:r>
    </w:p>
    <w:p w14:paraId="0BA9AF16" w14:textId="77777777" w:rsidR="00620656" w:rsidRPr="003235D0" w:rsidRDefault="00620656" w:rsidP="00620656">
      <w:pPr>
        <w:spacing w:after="0" w:line="276" w:lineRule="auto"/>
        <w:rPr>
          <w:rFonts w:cstheme="minorHAnsi"/>
          <w:sz w:val="24"/>
          <w:szCs w:val="24"/>
          <w:lang w:val="en-GB"/>
        </w:rPr>
      </w:pPr>
      <w:r w:rsidRPr="003235D0">
        <w:rPr>
          <w:rFonts w:cstheme="minorHAnsi"/>
          <w:sz w:val="24"/>
          <w:szCs w:val="24"/>
          <w:lang w:val="en-GB"/>
        </w:rPr>
        <w:t xml:space="preserve">     – results of migration tests (leaching test) for the final product according to EN 12873-1 standard</w:t>
      </w:r>
    </w:p>
    <w:p w14:paraId="07AE92C5" w14:textId="77777777" w:rsidR="00620656" w:rsidRPr="003235D0" w:rsidRDefault="00620656" w:rsidP="001A662E">
      <w:pPr>
        <w:spacing w:after="0" w:line="276" w:lineRule="auto"/>
        <w:ind w:left="284"/>
        <w:jc w:val="both"/>
        <w:rPr>
          <w:rFonts w:cstheme="minorHAnsi"/>
          <w:sz w:val="24"/>
          <w:szCs w:val="24"/>
          <w:lang w:val="en-GB"/>
        </w:rPr>
      </w:pPr>
      <w:r w:rsidRPr="003235D0">
        <w:rPr>
          <w:rFonts w:cstheme="minorHAnsi"/>
          <w:sz w:val="24"/>
          <w:szCs w:val="24"/>
          <w:lang w:val="en-GB"/>
        </w:rPr>
        <w:t>– test results on final product vulnerability to the creation of microbiological growths – creation of biofilm (e.g. according to EN 16421 standard).</w:t>
      </w:r>
    </w:p>
    <w:p w14:paraId="4F4156BF" w14:textId="77777777" w:rsidR="00F24889" w:rsidRPr="003235D0" w:rsidRDefault="00F24889" w:rsidP="00620656">
      <w:pPr>
        <w:spacing w:after="0" w:line="276" w:lineRule="auto"/>
        <w:rPr>
          <w:rFonts w:cstheme="minorHAnsi"/>
          <w:sz w:val="24"/>
          <w:szCs w:val="24"/>
          <w:lang w:val="en-GB"/>
        </w:rPr>
      </w:pPr>
    </w:p>
    <w:p w14:paraId="18A9CCA8" w14:textId="77777777" w:rsidR="00620656" w:rsidRPr="003235D0" w:rsidRDefault="00F24889" w:rsidP="000B535B">
      <w:pPr>
        <w:pStyle w:val="Akapitzlist"/>
        <w:numPr>
          <w:ilvl w:val="0"/>
          <w:numId w:val="2"/>
        </w:numPr>
        <w:spacing w:after="0" w:line="276" w:lineRule="auto"/>
        <w:ind w:left="284" w:hanging="284"/>
        <w:rPr>
          <w:rFonts w:cstheme="minorHAnsi"/>
          <w:sz w:val="24"/>
          <w:szCs w:val="24"/>
          <w:lang w:val="en-GB"/>
        </w:rPr>
      </w:pPr>
      <w:r w:rsidRPr="003235D0">
        <w:rPr>
          <w:rFonts w:cstheme="minorHAnsi"/>
          <w:sz w:val="24"/>
          <w:szCs w:val="24"/>
          <w:lang w:val="en-GB"/>
        </w:rPr>
        <w:t xml:space="preserve">for </w:t>
      </w:r>
      <w:r w:rsidRPr="003235D0">
        <w:rPr>
          <w:rFonts w:cstheme="minorHAnsi"/>
          <w:b/>
          <w:bCs/>
          <w:sz w:val="24"/>
          <w:szCs w:val="24"/>
          <w:lang w:val="en-GB"/>
        </w:rPr>
        <w:t>cement materials</w:t>
      </w:r>
      <w:r w:rsidRPr="003235D0">
        <w:rPr>
          <w:rFonts w:cstheme="minorHAnsi"/>
          <w:sz w:val="24"/>
          <w:szCs w:val="24"/>
          <w:lang w:val="en-GB"/>
        </w:rPr>
        <w:t xml:space="preserve"> </w:t>
      </w:r>
    </w:p>
    <w:p w14:paraId="451D18C1" w14:textId="77777777" w:rsidR="00F24889" w:rsidRPr="003235D0" w:rsidRDefault="00F24889" w:rsidP="00620656">
      <w:pPr>
        <w:pStyle w:val="Akapitzlist"/>
        <w:spacing w:after="0" w:line="276" w:lineRule="auto"/>
        <w:ind w:left="284"/>
        <w:rPr>
          <w:rFonts w:cstheme="minorHAnsi"/>
          <w:sz w:val="24"/>
          <w:szCs w:val="24"/>
          <w:lang w:val="en-GB"/>
        </w:rPr>
      </w:pPr>
      <w:r w:rsidRPr="003235D0">
        <w:rPr>
          <w:rFonts w:cstheme="minorHAnsi"/>
          <w:sz w:val="24"/>
          <w:szCs w:val="24"/>
          <w:lang w:val="en-GB"/>
        </w:rPr>
        <w:t>– data for each component: chemical name, CAS no., trade name (if applicable), name and address of manufacturer, safety data sheet;</w:t>
      </w:r>
    </w:p>
    <w:p w14:paraId="084B8825" w14:textId="6B4CFD2C" w:rsidR="00620656" w:rsidRPr="003235D0" w:rsidRDefault="00620656" w:rsidP="00620656">
      <w:pPr>
        <w:spacing w:after="0" w:line="276" w:lineRule="auto"/>
        <w:ind w:left="284"/>
        <w:rPr>
          <w:rFonts w:cstheme="minorHAnsi"/>
          <w:sz w:val="24"/>
          <w:szCs w:val="24"/>
          <w:lang w:val="en-GB"/>
        </w:rPr>
      </w:pPr>
      <w:r w:rsidRPr="003235D0">
        <w:rPr>
          <w:rFonts w:cstheme="minorHAnsi"/>
          <w:sz w:val="24"/>
          <w:szCs w:val="24"/>
          <w:lang w:val="en-GB"/>
        </w:rPr>
        <w:t>– declaration on non-application of prohibited substances in the light of applicable legal regulations (</w:t>
      </w:r>
      <w:hyperlink r:id="rId7" w:history="1">
        <w:r w:rsidRPr="007C37C8">
          <w:rPr>
            <w:rStyle w:val="Hipercze"/>
            <w:rFonts w:cstheme="minorHAnsi"/>
            <w:b/>
            <w:bCs/>
            <w:sz w:val="24"/>
            <w:szCs w:val="24"/>
            <w:lang w:val="en-GB"/>
          </w:rPr>
          <w:t>appendix no. 3</w:t>
        </w:r>
      </w:hyperlink>
      <w:r w:rsidRPr="003235D0">
        <w:rPr>
          <w:rFonts w:cstheme="minorHAnsi"/>
          <w:sz w:val="24"/>
          <w:szCs w:val="24"/>
          <w:lang w:val="en-GB"/>
        </w:rPr>
        <w:t>)</w:t>
      </w:r>
    </w:p>
    <w:p w14:paraId="54B2B9B9" w14:textId="77777777" w:rsidR="00620656" w:rsidRPr="003235D0" w:rsidRDefault="00620656" w:rsidP="00620656">
      <w:pPr>
        <w:pStyle w:val="Akapitzlist"/>
        <w:spacing w:after="0" w:line="276" w:lineRule="auto"/>
        <w:ind w:left="284"/>
        <w:rPr>
          <w:rFonts w:cstheme="minorHAnsi"/>
          <w:sz w:val="24"/>
          <w:szCs w:val="24"/>
          <w:lang w:val="en-GB"/>
        </w:rPr>
      </w:pPr>
      <w:r w:rsidRPr="003235D0">
        <w:rPr>
          <w:rFonts w:cstheme="minorHAnsi"/>
          <w:sz w:val="24"/>
          <w:szCs w:val="24"/>
          <w:lang w:val="en-GB"/>
        </w:rPr>
        <w:t>– results of migration tests according to EN 1444 standard</w:t>
      </w:r>
    </w:p>
    <w:p w14:paraId="678BD694" w14:textId="77777777" w:rsidR="00620656" w:rsidRPr="003235D0" w:rsidRDefault="00620656" w:rsidP="00620656">
      <w:pPr>
        <w:pStyle w:val="Akapitzlist"/>
        <w:spacing w:after="0" w:line="276" w:lineRule="auto"/>
        <w:ind w:left="284"/>
        <w:rPr>
          <w:rFonts w:cstheme="minorHAnsi"/>
          <w:sz w:val="24"/>
          <w:szCs w:val="24"/>
          <w:lang w:val="en-GB"/>
        </w:rPr>
      </w:pPr>
      <w:r w:rsidRPr="003235D0">
        <w:rPr>
          <w:rFonts w:cstheme="minorHAnsi"/>
          <w:sz w:val="24"/>
          <w:szCs w:val="24"/>
          <w:lang w:val="en-GB"/>
        </w:rPr>
        <w:t>– test results in the scope of the content of natural radioactive isotopes of potassium K‐40, radium Ra‐226 and thorium Th‐228 (regulation of the Council of Ministers of 2 January 2007, Dz. U. [Journal of Laws] of 2007, no. 4, item 29)</w:t>
      </w:r>
    </w:p>
    <w:p w14:paraId="7AB3ECF0" w14:textId="77777777" w:rsidR="00F24889" w:rsidRPr="003235D0" w:rsidRDefault="00F24889" w:rsidP="00620656">
      <w:pPr>
        <w:spacing w:after="0" w:line="276" w:lineRule="auto"/>
        <w:jc w:val="both"/>
        <w:rPr>
          <w:rFonts w:cstheme="minorHAnsi"/>
          <w:sz w:val="24"/>
          <w:szCs w:val="24"/>
          <w:lang w:val="en-GB"/>
        </w:rPr>
      </w:pPr>
    </w:p>
    <w:p w14:paraId="6395B915" w14:textId="77777777" w:rsidR="00620656" w:rsidRPr="003235D0" w:rsidRDefault="00620656" w:rsidP="00620656">
      <w:pPr>
        <w:pStyle w:val="Akapitzlist"/>
        <w:numPr>
          <w:ilvl w:val="0"/>
          <w:numId w:val="2"/>
        </w:numPr>
        <w:spacing w:after="0" w:line="276" w:lineRule="auto"/>
        <w:ind w:left="284" w:hanging="284"/>
        <w:jc w:val="both"/>
        <w:rPr>
          <w:rFonts w:cstheme="minorHAnsi"/>
          <w:sz w:val="24"/>
          <w:szCs w:val="24"/>
          <w:lang w:val="en-GB"/>
        </w:rPr>
      </w:pPr>
      <w:r w:rsidRPr="003235D0">
        <w:rPr>
          <w:rFonts w:cstheme="minorHAnsi"/>
          <w:sz w:val="24"/>
          <w:szCs w:val="24"/>
          <w:lang w:val="en-GB"/>
        </w:rPr>
        <w:t>for</w:t>
      </w:r>
      <w:r w:rsidRPr="003235D0">
        <w:rPr>
          <w:rFonts w:cstheme="minorHAnsi"/>
          <w:b/>
          <w:bCs/>
          <w:sz w:val="24"/>
          <w:szCs w:val="24"/>
          <w:lang w:val="en-GB"/>
        </w:rPr>
        <w:t xml:space="preserve"> chemical preparations used in water treatment processes:</w:t>
      </w:r>
      <w:r w:rsidRPr="003235D0">
        <w:rPr>
          <w:rFonts w:cstheme="minorHAnsi"/>
          <w:sz w:val="24"/>
          <w:szCs w:val="24"/>
          <w:lang w:val="en-GB"/>
        </w:rPr>
        <w:t xml:space="preserve"> </w:t>
      </w:r>
    </w:p>
    <w:p w14:paraId="01EA4B40" w14:textId="77777777" w:rsidR="00F24889" w:rsidRPr="003235D0" w:rsidRDefault="00620656" w:rsidP="00620656">
      <w:pPr>
        <w:pStyle w:val="Akapitzlist"/>
        <w:spacing w:after="0" w:line="276" w:lineRule="auto"/>
        <w:ind w:left="284"/>
        <w:jc w:val="both"/>
        <w:rPr>
          <w:rFonts w:cstheme="minorHAnsi"/>
          <w:sz w:val="24"/>
          <w:szCs w:val="24"/>
          <w:lang w:val="en-GB"/>
        </w:rPr>
      </w:pPr>
      <w:r w:rsidRPr="003235D0">
        <w:rPr>
          <w:rFonts w:cstheme="minorHAnsi"/>
          <w:sz w:val="24"/>
          <w:szCs w:val="24"/>
          <w:lang w:val="en-GB"/>
        </w:rPr>
        <w:t xml:space="preserve">– data on composition and contamination level of a preparation </w:t>
      </w:r>
    </w:p>
    <w:p w14:paraId="145589F4" w14:textId="77777777" w:rsidR="00620656" w:rsidRPr="003235D0" w:rsidRDefault="00620656" w:rsidP="00620656">
      <w:pPr>
        <w:pStyle w:val="Akapitzlist"/>
        <w:spacing w:after="0" w:line="276" w:lineRule="auto"/>
        <w:ind w:left="284"/>
        <w:jc w:val="both"/>
        <w:rPr>
          <w:rFonts w:cstheme="minorHAnsi"/>
          <w:sz w:val="24"/>
          <w:szCs w:val="24"/>
          <w:lang w:val="en-GB"/>
        </w:rPr>
      </w:pPr>
      <w:r w:rsidRPr="003235D0">
        <w:rPr>
          <w:rFonts w:cstheme="minorHAnsi"/>
          <w:sz w:val="24"/>
          <w:szCs w:val="24"/>
          <w:lang w:val="en-GB"/>
        </w:rPr>
        <w:lastRenderedPageBreak/>
        <w:t>– product label and product application instructions</w:t>
      </w:r>
    </w:p>
    <w:p w14:paraId="309A15DC" w14:textId="77777777" w:rsidR="00620656" w:rsidRPr="003235D0" w:rsidRDefault="00620656" w:rsidP="00620656">
      <w:pPr>
        <w:pStyle w:val="Akapitzlist"/>
        <w:spacing w:after="0" w:line="276" w:lineRule="auto"/>
        <w:ind w:left="284"/>
        <w:jc w:val="both"/>
        <w:rPr>
          <w:rFonts w:cstheme="minorHAnsi"/>
          <w:sz w:val="24"/>
          <w:szCs w:val="24"/>
          <w:lang w:val="en-GB"/>
        </w:rPr>
      </w:pPr>
      <w:r w:rsidRPr="003235D0">
        <w:rPr>
          <w:rFonts w:cstheme="minorHAnsi"/>
          <w:sz w:val="24"/>
          <w:szCs w:val="24"/>
          <w:lang w:val="en-GB"/>
        </w:rPr>
        <w:t>– product safety data sheet</w:t>
      </w:r>
    </w:p>
    <w:p w14:paraId="22455697" w14:textId="77777777" w:rsidR="00F24889" w:rsidRPr="003235D0" w:rsidRDefault="00F24889" w:rsidP="00F24889">
      <w:pPr>
        <w:pStyle w:val="Akapitzlist"/>
        <w:spacing w:after="0" w:line="276" w:lineRule="auto"/>
        <w:ind w:left="1416"/>
        <w:jc w:val="both"/>
        <w:rPr>
          <w:rFonts w:cstheme="minorHAnsi"/>
          <w:sz w:val="24"/>
          <w:szCs w:val="24"/>
          <w:lang w:val="en-GB"/>
        </w:rPr>
      </w:pPr>
      <w:r w:rsidRPr="003235D0">
        <w:rPr>
          <w:rFonts w:cstheme="minorHAnsi"/>
          <w:sz w:val="24"/>
          <w:szCs w:val="24"/>
          <w:lang w:val="en-GB"/>
        </w:rPr>
        <w:t xml:space="preserve"> </w:t>
      </w:r>
    </w:p>
    <w:p w14:paraId="5917A523" w14:textId="77777777" w:rsidR="00F24889" w:rsidRPr="003235D0" w:rsidRDefault="00620656" w:rsidP="006A503B">
      <w:pPr>
        <w:pStyle w:val="Akapitzlist"/>
        <w:spacing w:after="0" w:line="276" w:lineRule="auto"/>
        <w:ind w:left="0"/>
        <w:jc w:val="both"/>
        <w:rPr>
          <w:rFonts w:cstheme="minorHAnsi"/>
          <w:sz w:val="24"/>
          <w:szCs w:val="24"/>
          <w:lang w:val="en-GB"/>
        </w:rPr>
      </w:pPr>
      <w:r w:rsidRPr="003235D0">
        <w:rPr>
          <w:rFonts w:cstheme="minorHAnsi"/>
          <w:sz w:val="24"/>
          <w:szCs w:val="24"/>
          <w:lang w:val="en-GB"/>
        </w:rPr>
        <w:t xml:space="preserve">Environment Health Safety Institute accepts results of tests performed abroad in independent, accredited laboratories together with sanitary or hygienic certificates issued based on them (e.g. </w:t>
      </w:r>
      <w:r w:rsidRPr="003235D0">
        <w:rPr>
          <w:rFonts w:cstheme="minorHAnsi"/>
          <w:b/>
          <w:bCs/>
          <w:sz w:val="24"/>
          <w:szCs w:val="24"/>
          <w:lang w:val="en-GB"/>
        </w:rPr>
        <w:t>DVGW</w:t>
      </w:r>
      <w:r w:rsidRPr="003235D0">
        <w:rPr>
          <w:rFonts w:cstheme="minorHAnsi"/>
          <w:sz w:val="24"/>
          <w:szCs w:val="24"/>
          <w:lang w:val="en-GB"/>
        </w:rPr>
        <w:t>,</w:t>
      </w:r>
      <w:r w:rsidRPr="003235D0">
        <w:rPr>
          <w:rFonts w:cstheme="minorHAnsi"/>
          <w:b/>
          <w:bCs/>
          <w:sz w:val="24"/>
          <w:szCs w:val="24"/>
          <w:lang w:val="en-GB"/>
        </w:rPr>
        <w:t xml:space="preserve"> KIWA</w:t>
      </w:r>
      <w:r w:rsidRPr="003235D0">
        <w:rPr>
          <w:rFonts w:cstheme="minorHAnsi"/>
          <w:sz w:val="24"/>
          <w:szCs w:val="24"/>
          <w:lang w:val="en-GB"/>
        </w:rPr>
        <w:t>,</w:t>
      </w:r>
      <w:r w:rsidRPr="003235D0">
        <w:rPr>
          <w:rFonts w:cstheme="minorHAnsi"/>
          <w:b/>
          <w:bCs/>
          <w:sz w:val="24"/>
          <w:szCs w:val="24"/>
          <w:lang w:val="en-GB"/>
        </w:rPr>
        <w:t xml:space="preserve"> WRC</w:t>
      </w:r>
      <w:r w:rsidRPr="003235D0">
        <w:rPr>
          <w:rFonts w:cstheme="minorHAnsi"/>
          <w:sz w:val="24"/>
          <w:szCs w:val="24"/>
          <w:lang w:val="en-GB"/>
        </w:rPr>
        <w:t>,</w:t>
      </w:r>
      <w:r w:rsidRPr="003235D0">
        <w:rPr>
          <w:rFonts w:cstheme="minorHAnsi"/>
          <w:b/>
          <w:bCs/>
          <w:sz w:val="24"/>
          <w:szCs w:val="24"/>
          <w:lang w:val="en-GB"/>
        </w:rPr>
        <w:t xml:space="preserve"> NSF</w:t>
      </w:r>
      <w:r w:rsidRPr="003235D0">
        <w:rPr>
          <w:rFonts w:cstheme="minorHAnsi"/>
          <w:sz w:val="24"/>
          <w:szCs w:val="24"/>
          <w:lang w:val="en-GB"/>
        </w:rPr>
        <w:t>,</w:t>
      </w:r>
      <w:r w:rsidRPr="003235D0">
        <w:rPr>
          <w:rFonts w:cstheme="minorHAnsi"/>
          <w:b/>
          <w:bCs/>
          <w:sz w:val="24"/>
          <w:szCs w:val="24"/>
          <w:lang w:val="en-GB"/>
        </w:rPr>
        <w:t xml:space="preserve"> ACS</w:t>
      </w:r>
      <w:r w:rsidRPr="003235D0">
        <w:rPr>
          <w:rFonts w:cstheme="minorHAnsi"/>
          <w:sz w:val="24"/>
          <w:szCs w:val="24"/>
          <w:lang w:val="en-GB"/>
        </w:rPr>
        <w:t>,</w:t>
      </w:r>
      <w:r w:rsidRPr="003235D0">
        <w:rPr>
          <w:rFonts w:cstheme="minorHAnsi"/>
          <w:b/>
          <w:bCs/>
          <w:sz w:val="24"/>
          <w:szCs w:val="24"/>
          <w:lang w:val="en-GB"/>
        </w:rPr>
        <w:t xml:space="preserve"> WRAS</w:t>
      </w:r>
      <w:r w:rsidRPr="003235D0">
        <w:rPr>
          <w:rFonts w:cstheme="minorHAnsi"/>
          <w:sz w:val="24"/>
          <w:szCs w:val="24"/>
          <w:lang w:val="en-GB"/>
        </w:rPr>
        <w:t>).</w:t>
      </w:r>
      <w:r w:rsidRPr="003235D0">
        <w:rPr>
          <w:rFonts w:cstheme="minorHAnsi"/>
          <w:b/>
          <w:bCs/>
          <w:sz w:val="24"/>
          <w:szCs w:val="24"/>
          <w:lang w:val="en-GB"/>
        </w:rPr>
        <w:t xml:space="preserve"> </w:t>
      </w:r>
      <w:r w:rsidRPr="003235D0">
        <w:rPr>
          <w:rFonts w:cstheme="minorHAnsi"/>
          <w:sz w:val="24"/>
          <w:szCs w:val="24"/>
          <w:lang w:val="en-GB"/>
        </w:rPr>
        <w:t xml:space="preserve">It is sufficient to send them in the form of a copy, without the need to translate it to Polish, unless they were drawn up in English, German or French. One should only draw attention to the fact that certificates referring to the technical properties of products or certificates of quality management systems held by a manufacturer (.e.g. CE, ISO) do not apply in this case. </w:t>
      </w:r>
    </w:p>
    <w:p w14:paraId="7B271816" w14:textId="77777777" w:rsidR="006A503B" w:rsidRPr="003235D0" w:rsidRDefault="006A503B" w:rsidP="006A503B">
      <w:pPr>
        <w:spacing w:after="0" w:line="276" w:lineRule="auto"/>
        <w:jc w:val="both"/>
        <w:rPr>
          <w:rFonts w:cstheme="minorHAnsi"/>
          <w:b/>
          <w:sz w:val="24"/>
          <w:szCs w:val="24"/>
          <w:lang w:val="en-GB"/>
        </w:rPr>
      </w:pPr>
    </w:p>
    <w:p w14:paraId="25D4052C" w14:textId="77777777" w:rsidR="00F24889" w:rsidRPr="003235D0" w:rsidRDefault="00F24889" w:rsidP="006A503B">
      <w:pPr>
        <w:spacing w:after="0" w:line="276" w:lineRule="auto"/>
        <w:jc w:val="both"/>
        <w:rPr>
          <w:rFonts w:cstheme="minorHAnsi"/>
          <w:b/>
          <w:sz w:val="24"/>
          <w:szCs w:val="24"/>
          <w:lang w:val="en-GB"/>
        </w:rPr>
      </w:pPr>
      <w:r w:rsidRPr="003235D0">
        <w:rPr>
          <w:rFonts w:cstheme="minorHAnsi"/>
          <w:b/>
          <w:bCs/>
          <w:sz w:val="24"/>
          <w:szCs w:val="24"/>
          <w:lang w:val="en-GB"/>
        </w:rPr>
        <w:t xml:space="preserve">In case of lack of results of necessary laboratory tests, they may be conducted </w:t>
      </w:r>
      <w:r w:rsidRPr="003235D0">
        <w:rPr>
          <w:rFonts w:cstheme="minorHAnsi"/>
          <w:sz w:val="24"/>
          <w:szCs w:val="24"/>
          <w:lang w:val="en-GB"/>
        </w:rPr>
        <w:br/>
      </w:r>
      <w:r w:rsidRPr="003235D0">
        <w:rPr>
          <w:rFonts w:cstheme="minorHAnsi"/>
          <w:b/>
          <w:bCs/>
          <w:sz w:val="24"/>
          <w:szCs w:val="24"/>
          <w:lang w:val="en-GB"/>
        </w:rPr>
        <w:t>in laboratories in Poland:</w:t>
      </w:r>
    </w:p>
    <w:p w14:paraId="51D72227" w14:textId="77777777" w:rsidR="00F24889" w:rsidRPr="003235D0" w:rsidRDefault="00F24889" w:rsidP="00F24889">
      <w:pPr>
        <w:pStyle w:val="Akapitzlist"/>
        <w:spacing w:after="0" w:line="276" w:lineRule="auto"/>
        <w:jc w:val="both"/>
        <w:rPr>
          <w:rFonts w:cstheme="minorHAnsi"/>
          <w:b/>
          <w:sz w:val="24"/>
          <w:szCs w:val="24"/>
          <w:lang w:val="en-GB"/>
        </w:rPr>
      </w:pPr>
    </w:p>
    <w:p w14:paraId="454622B6" w14:textId="12B63887" w:rsidR="00F24889" w:rsidRPr="003235D0" w:rsidRDefault="00D67D33" w:rsidP="006A503B">
      <w:pPr>
        <w:pStyle w:val="Akapitzlist"/>
        <w:numPr>
          <w:ilvl w:val="0"/>
          <w:numId w:val="5"/>
        </w:numPr>
        <w:spacing w:after="0" w:line="276" w:lineRule="auto"/>
        <w:ind w:left="567" w:hanging="284"/>
        <w:jc w:val="both"/>
        <w:rPr>
          <w:rFonts w:eastAsiaTheme="minorEastAsia" w:cstheme="minorHAnsi"/>
          <w:noProof/>
          <w:sz w:val="24"/>
          <w:szCs w:val="24"/>
          <w:lang w:val="en-GB"/>
        </w:rPr>
      </w:pPr>
      <w:r w:rsidRPr="003235D0">
        <w:rPr>
          <w:rFonts w:cstheme="minorHAnsi"/>
          <w:b/>
          <w:bCs/>
          <w:color w:val="000000" w:themeColor="text1"/>
          <w:sz w:val="24"/>
          <w:szCs w:val="24"/>
          <w:lang w:val="en-GB"/>
        </w:rPr>
        <w:t>migratio</w:t>
      </w:r>
      <w:bookmarkStart w:id="0" w:name="_GoBack"/>
      <w:bookmarkEnd w:id="0"/>
      <w:r w:rsidRPr="003235D0">
        <w:rPr>
          <w:rFonts w:cstheme="minorHAnsi"/>
          <w:b/>
          <w:bCs/>
          <w:color w:val="000000" w:themeColor="text1"/>
          <w:sz w:val="24"/>
          <w:szCs w:val="24"/>
          <w:lang w:val="en-GB"/>
        </w:rPr>
        <w:t>n testing:</w:t>
      </w:r>
      <w:r w:rsidRPr="003235D0">
        <w:rPr>
          <w:rFonts w:cstheme="minorHAnsi"/>
          <w:color w:val="000000" w:themeColor="text1"/>
          <w:sz w:val="24"/>
          <w:szCs w:val="24"/>
          <w:lang w:val="en-GB"/>
        </w:rPr>
        <w:t xml:space="preserve"> in selected laboratories </w:t>
      </w:r>
      <w:r w:rsidRPr="003235D0">
        <w:rPr>
          <w:rFonts w:cstheme="minorHAnsi"/>
          <w:noProof/>
          <w:color w:val="000000" w:themeColor="text1"/>
          <w:sz w:val="24"/>
          <w:szCs w:val="24"/>
          <w:lang w:val="en-GB"/>
        </w:rPr>
        <w:t>(</w:t>
      </w:r>
      <w:hyperlink r:id="rId8" w:history="1">
        <w:r w:rsidRPr="007C37C8">
          <w:rPr>
            <w:rStyle w:val="Hipercze"/>
            <w:rFonts w:cstheme="minorHAnsi"/>
            <w:b/>
            <w:bCs/>
            <w:noProof/>
            <w:sz w:val="24"/>
            <w:szCs w:val="24"/>
            <w:lang w:val="en-GB"/>
          </w:rPr>
          <w:t>app</w:t>
        </w:r>
        <w:r w:rsidR="007C37C8" w:rsidRPr="007C37C8">
          <w:rPr>
            <w:rStyle w:val="Hipercze"/>
            <w:rFonts w:cstheme="minorHAnsi"/>
            <w:b/>
            <w:bCs/>
            <w:noProof/>
            <w:sz w:val="24"/>
            <w:szCs w:val="24"/>
            <w:lang w:val="en-GB"/>
          </w:rPr>
          <w:t>endix</w:t>
        </w:r>
        <w:r w:rsidRPr="007C37C8">
          <w:rPr>
            <w:rStyle w:val="Hipercze"/>
            <w:rFonts w:cstheme="minorHAnsi"/>
            <w:b/>
            <w:bCs/>
            <w:noProof/>
            <w:sz w:val="24"/>
            <w:szCs w:val="24"/>
            <w:lang w:val="en-GB"/>
          </w:rPr>
          <w:t xml:space="preserve"> No. 4</w:t>
        </w:r>
      </w:hyperlink>
      <w:r w:rsidRPr="003235D0">
        <w:rPr>
          <w:rFonts w:cstheme="minorHAnsi"/>
          <w:noProof/>
          <w:sz w:val="24"/>
          <w:szCs w:val="24"/>
          <w:lang w:val="en-GB"/>
        </w:rPr>
        <w:t xml:space="preserve">) </w:t>
      </w:r>
      <w:r w:rsidRPr="003235D0">
        <w:rPr>
          <w:rFonts w:cstheme="minorHAnsi"/>
          <w:color w:val="000000" w:themeColor="text1"/>
          <w:sz w:val="24"/>
          <w:szCs w:val="24"/>
          <w:lang w:val="en-GB"/>
        </w:rPr>
        <w:t xml:space="preserve">in the scope of parameters determined after individual consultations with NIZP-PZH, </w:t>
      </w:r>
    </w:p>
    <w:p w14:paraId="2EAE7337" w14:textId="77777777" w:rsidR="00F24889" w:rsidRPr="003235D0" w:rsidRDefault="00F24889" w:rsidP="006A503B">
      <w:pPr>
        <w:pStyle w:val="Akapitzlist"/>
        <w:numPr>
          <w:ilvl w:val="0"/>
          <w:numId w:val="5"/>
        </w:numPr>
        <w:spacing w:after="0" w:line="276" w:lineRule="auto"/>
        <w:ind w:left="567" w:hanging="284"/>
        <w:jc w:val="both"/>
        <w:rPr>
          <w:rFonts w:eastAsiaTheme="minorEastAsia" w:cstheme="minorHAnsi"/>
          <w:noProof/>
          <w:sz w:val="24"/>
          <w:szCs w:val="24"/>
          <w:lang w:val="en-GB"/>
        </w:rPr>
      </w:pPr>
      <w:r w:rsidRPr="003235D0">
        <w:rPr>
          <w:rFonts w:eastAsiaTheme="minorEastAsia" w:cstheme="minorHAnsi"/>
          <w:b/>
          <w:bCs/>
          <w:noProof/>
          <w:sz w:val="24"/>
          <w:szCs w:val="24"/>
          <w:lang w:val="en-GB"/>
        </w:rPr>
        <w:t>tests of vulnerability for biofilm creation.</w:t>
      </w:r>
      <w:r w:rsidRPr="003235D0">
        <w:rPr>
          <w:rFonts w:eastAsiaTheme="minorEastAsia" w:cstheme="minorHAnsi"/>
          <w:noProof/>
          <w:sz w:val="24"/>
          <w:szCs w:val="24"/>
          <w:lang w:val="en-GB"/>
        </w:rPr>
        <w:t xml:space="preserve"> The test may be performed at NIZP-PZH after prior arrangements with Mr Maciej</w:t>
      </w:r>
      <w:r w:rsidR="00A36705">
        <w:rPr>
          <w:rFonts w:eastAsiaTheme="minorEastAsia" w:cstheme="minorHAnsi"/>
          <w:noProof/>
          <w:sz w:val="24"/>
          <w:szCs w:val="24"/>
          <w:lang w:val="en-GB"/>
        </w:rPr>
        <w:t xml:space="preserve"> Szczotko, PhD, tel. (22) 54 21 </w:t>
      </w:r>
      <w:r w:rsidRPr="003235D0">
        <w:rPr>
          <w:rFonts w:eastAsiaTheme="minorEastAsia" w:cstheme="minorHAnsi"/>
          <w:noProof/>
          <w:sz w:val="24"/>
          <w:szCs w:val="24"/>
          <w:lang w:val="en-GB"/>
        </w:rPr>
        <w:t xml:space="preserve">382, </w:t>
      </w:r>
      <w:hyperlink r:id="rId9" w:history="1">
        <w:r w:rsidRPr="003235D0">
          <w:rPr>
            <w:rStyle w:val="Hipercze"/>
            <w:rFonts w:eastAsiaTheme="minorEastAsia" w:cstheme="minorHAnsi"/>
            <w:noProof/>
            <w:color w:val="0563C1"/>
            <w:sz w:val="24"/>
            <w:szCs w:val="24"/>
            <w:lang w:val="en-GB"/>
          </w:rPr>
          <w:t>mszczotko@pzh.gov.pl</w:t>
        </w:r>
      </w:hyperlink>
      <w:r w:rsidRPr="003235D0">
        <w:rPr>
          <w:rFonts w:eastAsiaTheme="minorEastAsia" w:cstheme="minorHAnsi"/>
          <w:noProof/>
          <w:color w:val="1F4E79"/>
          <w:sz w:val="24"/>
          <w:szCs w:val="24"/>
          <w:lang w:val="en-GB"/>
        </w:rPr>
        <w:t xml:space="preserve"> </w:t>
      </w:r>
      <w:r w:rsidRPr="003235D0">
        <w:rPr>
          <w:rFonts w:eastAsiaTheme="minorEastAsia" w:cstheme="minorHAnsi"/>
          <w:noProof/>
          <w:sz w:val="24"/>
          <w:szCs w:val="24"/>
          <w:lang w:val="en-GB"/>
        </w:rPr>
        <w:t xml:space="preserve">(the test is currently obligatory for all products made of plastic and rubber). </w:t>
      </w:r>
    </w:p>
    <w:p w14:paraId="7586C950" w14:textId="77777777" w:rsidR="006A503B" w:rsidRPr="003235D0" w:rsidRDefault="006A503B" w:rsidP="006A503B">
      <w:pPr>
        <w:spacing w:after="0" w:line="276" w:lineRule="auto"/>
        <w:jc w:val="both"/>
        <w:rPr>
          <w:rFonts w:eastAsiaTheme="minorEastAsia" w:cstheme="minorHAnsi"/>
          <w:noProof/>
          <w:sz w:val="24"/>
          <w:szCs w:val="24"/>
          <w:lang w:val="en-GB"/>
        </w:rPr>
      </w:pPr>
    </w:p>
    <w:p w14:paraId="4EE5F514" w14:textId="77777777" w:rsidR="006A503B" w:rsidRPr="003235D0" w:rsidRDefault="00D67D33" w:rsidP="006A503B">
      <w:pPr>
        <w:spacing w:after="0" w:line="276" w:lineRule="auto"/>
        <w:jc w:val="both"/>
        <w:rPr>
          <w:rFonts w:cstheme="minorHAnsi"/>
          <w:sz w:val="24"/>
          <w:szCs w:val="24"/>
          <w:lang w:val="en-GB"/>
        </w:rPr>
      </w:pPr>
      <w:r w:rsidRPr="003235D0">
        <w:rPr>
          <w:rFonts w:cstheme="minorHAnsi"/>
          <w:sz w:val="24"/>
          <w:szCs w:val="24"/>
          <w:lang w:val="en-GB"/>
        </w:rPr>
        <w:t xml:space="preserve">Data on the product composition provided during the attestation procedure are subject to strict confidentiality, and they are accessed only by the persons authorised to do so, handling the case. There is a possibility of formal agreement on data confidentiality – </w:t>
      </w:r>
      <w:r w:rsidR="00A36705">
        <w:rPr>
          <w:rFonts w:cstheme="minorHAnsi"/>
          <w:sz w:val="24"/>
          <w:szCs w:val="24"/>
          <w:lang w:val="en-GB"/>
        </w:rPr>
        <w:br/>
      </w:r>
      <w:r w:rsidRPr="003235D0">
        <w:rPr>
          <w:rFonts w:cstheme="minorHAnsi"/>
          <w:sz w:val="24"/>
          <w:szCs w:val="24"/>
          <w:lang w:val="en-GB"/>
        </w:rPr>
        <w:t>a bilateral agreement.</w:t>
      </w:r>
    </w:p>
    <w:p w14:paraId="66F7D336" w14:textId="77777777" w:rsidR="00930D55" w:rsidRPr="003235D0" w:rsidRDefault="00930D55">
      <w:pPr>
        <w:rPr>
          <w:rFonts w:cstheme="minorHAnsi"/>
          <w:sz w:val="24"/>
          <w:szCs w:val="24"/>
          <w:lang w:val="en-GB"/>
        </w:rPr>
      </w:pPr>
    </w:p>
    <w:sectPr w:rsidR="00930D55" w:rsidRPr="003235D0" w:rsidSect="00B06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83C2F"/>
    <w:multiLevelType w:val="hybridMultilevel"/>
    <w:tmpl w:val="485AFF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30D91F61"/>
    <w:multiLevelType w:val="hybridMultilevel"/>
    <w:tmpl w:val="938265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938643F"/>
    <w:multiLevelType w:val="hybridMultilevel"/>
    <w:tmpl w:val="3FD09E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75D7ED8"/>
    <w:multiLevelType w:val="hybridMultilevel"/>
    <w:tmpl w:val="CE9CEA3E"/>
    <w:lvl w:ilvl="0" w:tplc="0415000F">
      <w:start w:val="1"/>
      <w:numFmt w:val="decimal"/>
      <w:lvlText w:val="%1."/>
      <w:lvlJc w:val="left"/>
      <w:pPr>
        <w:tabs>
          <w:tab w:val="num" w:pos="644"/>
        </w:tabs>
        <w:ind w:left="644" w:hanging="360"/>
      </w:pPr>
    </w:lvl>
    <w:lvl w:ilvl="1" w:tplc="04150001">
      <w:start w:val="1"/>
      <w:numFmt w:val="bullet"/>
      <w:lvlText w:val=""/>
      <w:lvlJc w:val="left"/>
      <w:pPr>
        <w:tabs>
          <w:tab w:val="num" w:pos="1364"/>
        </w:tabs>
        <w:ind w:left="1364" w:hanging="360"/>
      </w:pPr>
      <w:rPr>
        <w:rFonts w:ascii="Symbol" w:hAnsi="Symbol" w:hint="default"/>
      </w:rPr>
    </w:lvl>
    <w:lvl w:ilvl="2" w:tplc="0415000F">
      <w:start w:val="1"/>
      <w:numFmt w:val="decimal"/>
      <w:lvlText w:val="%3."/>
      <w:lvlJc w:val="left"/>
      <w:pPr>
        <w:tabs>
          <w:tab w:val="num" w:pos="2264"/>
        </w:tabs>
        <w:ind w:left="2264" w:hanging="36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4" w15:restartNumberingAfterBreak="0">
    <w:nsid w:val="557A67BD"/>
    <w:multiLevelType w:val="hybridMultilevel"/>
    <w:tmpl w:val="F2680B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4889"/>
    <w:rsid w:val="000B535B"/>
    <w:rsid w:val="001507EA"/>
    <w:rsid w:val="001A662E"/>
    <w:rsid w:val="00296CCD"/>
    <w:rsid w:val="003235D0"/>
    <w:rsid w:val="003C7729"/>
    <w:rsid w:val="004D4A95"/>
    <w:rsid w:val="00620656"/>
    <w:rsid w:val="006A503B"/>
    <w:rsid w:val="007C37C8"/>
    <w:rsid w:val="007E0222"/>
    <w:rsid w:val="007F1F97"/>
    <w:rsid w:val="008612EA"/>
    <w:rsid w:val="00930D55"/>
    <w:rsid w:val="009C6109"/>
    <w:rsid w:val="00A36705"/>
    <w:rsid w:val="00A85F04"/>
    <w:rsid w:val="00B06CC0"/>
    <w:rsid w:val="00B54ADA"/>
    <w:rsid w:val="00BF2ADE"/>
    <w:rsid w:val="00C269DB"/>
    <w:rsid w:val="00D67D33"/>
    <w:rsid w:val="00F24889"/>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AD22"/>
  <w15:docId w15:val="{A706DBB2-1965-4430-A129-06C8CA9E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248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4889"/>
    <w:pPr>
      <w:ind w:left="720"/>
      <w:contextualSpacing/>
    </w:pPr>
  </w:style>
  <w:style w:type="character" w:styleId="Hipercze">
    <w:name w:val="Hyperlink"/>
    <w:basedOn w:val="Domylnaczcionkaakapitu"/>
    <w:uiPriority w:val="99"/>
    <w:unhideWhenUsed/>
    <w:rsid w:val="00F24889"/>
    <w:rPr>
      <w:color w:val="0000FF"/>
      <w:u w:val="single"/>
    </w:rPr>
  </w:style>
  <w:style w:type="character" w:styleId="Nierozpoznanawzmianka">
    <w:name w:val="Unresolved Mention"/>
    <w:basedOn w:val="Domylnaczcionkaakapitu"/>
    <w:uiPriority w:val="99"/>
    <w:semiHidden/>
    <w:unhideWhenUsed/>
    <w:rsid w:val="007C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zh.gov.pl/wp-content/uploads/2019/10/za%C5%82.-nr-4-lista-laboratori%C3%B3w-W-1.pdf" TargetMode="External"/><Relationship Id="rId3" Type="http://schemas.openxmlformats.org/officeDocument/2006/relationships/settings" Target="settings.xml"/><Relationship Id="rId7" Type="http://schemas.openxmlformats.org/officeDocument/2006/relationships/hyperlink" Target="https://www.pzh.gov.pl/wp-content/uploads/2019/10/za&#322;.-nr-3-deklaracja-W-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zh.gov.pl/wp-content/uploads/2019/10/za&#322;.-nr-3-deklaracja-W-1.doc" TargetMode="External"/><Relationship Id="rId11" Type="http://schemas.openxmlformats.org/officeDocument/2006/relationships/theme" Target="theme/theme1.xml"/><Relationship Id="rId5" Type="http://schemas.openxmlformats.org/officeDocument/2006/relationships/hyperlink" Target="https://www.pzh.gov.pl/wp-content/uploads/2019/10/za&#322;.-nr-2-deklaracja_zestawienie-materia&#322;owe-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zczotko@pzh.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605</Words>
  <Characters>3631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Szczotko Maciej</dc:creator>
  <cp:lastModifiedBy>User</cp:lastModifiedBy>
  <cp:revision>3</cp:revision>
  <dcterms:created xsi:type="dcterms:W3CDTF">2019-09-27T13:16:00Z</dcterms:created>
  <dcterms:modified xsi:type="dcterms:W3CDTF">2019-10-30T11:29:00Z</dcterms:modified>
</cp:coreProperties>
</file>