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704B" w14:textId="410832BC" w:rsidR="001E30F3" w:rsidRPr="00B87104" w:rsidRDefault="00B87104" w:rsidP="00A87399">
      <w:pPr>
        <w:spacing w:line="360" w:lineRule="auto"/>
        <w:rPr>
          <w:rFonts w:ascii="Candara" w:hAnsi="Candara" w:cs="Myriad Pro"/>
          <w:bCs/>
        </w:rPr>
      </w:pP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 w:rsidRPr="00B87104">
        <w:rPr>
          <w:rFonts w:ascii="Candara" w:hAnsi="Candara" w:cs="Myriad Pro"/>
          <w:bCs/>
        </w:rPr>
        <w:t>Załącznik nr 2 do Konkursu</w:t>
      </w:r>
    </w:p>
    <w:p w14:paraId="6CD4D638" w14:textId="77777777" w:rsidR="001E30F3" w:rsidRPr="001E30F3" w:rsidRDefault="001E30F3" w:rsidP="001E30F3">
      <w:pPr>
        <w:spacing w:line="360" w:lineRule="auto"/>
        <w:jc w:val="center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b/>
          <w:sz w:val="22"/>
          <w:szCs w:val="22"/>
        </w:rPr>
        <w:t>Opis przedmiotu zamówienia</w:t>
      </w:r>
    </w:p>
    <w:p w14:paraId="1A5A563D" w14:textId="000A375E" w:rsidR="001E30F3" w:rsidRPr="004B5667" w:rsidRDefault="001E30F3" w:rsidP="00A9706A">
      <w:pPr>
        <w:widowControl/>
        <w:suppressAutoHyphens w:val="0"/>
        <w:autoSpaceDE/>
        <w:ind w:left="284"/>
        <w:jc w:val="both"/>
        <w:rPr>
          <w:rFonts w:ascii="Candara" w:hAnsi="Candara" w:cstheme="majorHAnsi"/>
          <w:bCs/>
          <w:sz w:val="22"/>
          <w:szCs w:val="22"/>
        </w:rPr>
      </w:pPr>
      <w:r w:rsidRPr="001E30F3">
        <w:rPr>
          <w:rFonts w:ascii="Candara" w:hAnsi="Candara" w:cs="Myriad Pro"/>
          <w:sz w:val="22"/>
          <w:szCs w:val="22"/>
        </w:rPr>
        <w:t xml:space="preserve">Przedmiotem zamówienia jest udzielanie porad </w:t>
      </w:r>
      <w:r>
        <w:rPr>
          <w:rFonts w:ascii="Candara" w:hAnsi="Candara" w:cs="Myriad Pro"/>
          <w:sz w:val="22"/>
          <w:szCs w:val="22"/>
        </w:rPr>
        <w:t xml:space="preserve">specjalistycznych </w:t>
      </w:r>
      <w:r w:rsidRPr="001E30F3">
        <w:rPr>
          <w:rFonts w:ascii="Candara" w:hAnsi="Candara" w:cs="Myriad Pro"/>
          <w:sz w:val="22"/>
          <w:szCs w:val="22"/>
        </w:rPr>
        <w:t xml:space="preserve">przez lekarzy w Poradni </w:t>
      </w:r>
      <w:r>
        <w:rPr>
          <w:rFonts w:ascii="Candara" w:hAnsi="Candara" w:cs="Myriad Pro"/>
          <w:sz w:val="22"/>
          <w:szCs w:val="22"/>
        </w:rPr>
        <w:t>Chorób Metabolicznych Centrum Medycznego Narodowego Instytutu Zdrowia Publicznego PZH-PIB</w:t>
      </w:r>
      <w:r w:rsidRPr="001E30F3">
        <w:rPr>
          <w:rFonts w:ascii="Candara" w:hAnsi="Candara" w:cs="Myriad Pro"/>
          <w:sz w:val="22"/>
          <w:szCs w:val="22"/>
        </w:rPr>
        <w:t xml:space="preserve"> w Warszawie przy ul. </w:t>
      </w:r>
      <w:r>
        <w:rPr>
          <w:rFonts w:ascii="Candara" w:hAnsi="Candara" w:cs="Myriad Pro"/>
          <w:sz w:val="22"/>
          <w:szCs w:val="22"/>
        </w:rPr>
        <w:t xml:space="preserve">Powsińska 61/63. </w:t>
      </w:r>
      <w:r w:rsidRPr="004B5667">
        <w:rPr>
          <w:rFonts w:ascii="Candara" w:hAnsi="Candara" w:cstheme="majorHAnsi"/>
          <w:bCs/>
          <w:sz w:val="22"/>
          <w:szCs w:val="22"/>
        </w:rPr>
        <w:t>Poradnia Chorób Metabolicznych udziela świadczeń zdrowotnych z zakresu ambulatoryjnej opieki specjalistycznej w poniedziałki godz. 8:00-18:00 oraz wtorki-piątki 8:00-15:35.</w:t>
      </w:r>
    </w:p>
    <w:p w14:paraId="6B3797FD" w14:textId="3529A801" w:rsidR="001E30F3" w:rsidRPr="001E30F3" w:rsidRDefault="001E30F3" w:rsidP="00A9706A">
      <w:pPr>
        <w:shd w:val="clear" w:color="auto" w:fill="FFFFFF"/>
        <w:ind w:left="284"/>
        <w:jc w:val="both"/>
        <w:rPr>
          <w:rFonts w:ascii="Candara" w:hAnsi="Candara" w:cs="Myriad Pro"/>
          <w:kern w:val="1"/>
          <w:sz w:val="22"/>
          <w:szCs w:val="22"/>
        </w:rPr>
      </w:pPr>
      <w:r w:rsidRPr="00A9706A">
        <w:rPr>
          <w:rFonts w:ascii="Candara" w:hAnsi="Candara" w:cs="Myriad Pro"/>
          <w:kern w:val="1"/>
          <w:sz w:val="22"/>
          <w:szCs w:val="22"/>
        </w:rPr>
        <w:t xml:space="preserve">Świadczenia będą realizowane od dnia 01.01.2024 </w:t>
      </w:r>
      <w:r w:rsidR="00130329" w:rsidRPr="00A9706A">
        <w:rPr>
          <w:rFonts w:ascii="Candara" w:hAnsi="Candara" w:cs="Myriad Pro"/>
          <w:kern w:val="1"/>
          <w:sz w:val="22"/>
          <w:szCs w:val="22"/>
        </w:rPr>
        <w:t xml:space="preserve">przez okres </w:t>
      </w:r>
      <w:r w:rsidR="00375E95" w:rsidRPr="00A9706A">
        <w:rPr>
          <w:rFonts w:ascii="Candara" w:hAnsi="Candara" w:cs="Myriad Pro"/>
          <w:kern w:val="1"/>
          <w:sz w:val="22"/>
          <w:szCs w:val="22"/>
        </w:rPr>
        <w:t xml:space="preserve">nie krótszy niż </w:t>
      </w:r>
      <w:r w:rsidR="00130329" w:rsidRPr="00A9706A">
        <w:rPr>
          <w:rFonts w:ascii="Candara" w:hAnsi="Candara" w:cs="Myriad Pro"/>
          <w:kern w:val="1"/>
          <w:sz w:val="22"/>
          <w:szCs w:val="22"/>
        </w:rPr>
        <w:t>12 miesięcy</w:t>
      </w:r>
      <w:r w:rsidR="00375E95" w:rsidRPr="00A9706A">
        <w:rPr>
          <w:rFonts w:ascii="Candara" w:hAnsi="Candara" w:cs="Myriad Pro"/>
          <w:kern w:val="1"/>
          <w:sz w:val="22"/>
          <w:szCs w:val="22"/>
        </w:rPr>
        <w:t>, nie dłużej jednak niż przez 24 miesiące.</w:t>
      </w:r>
      <w:r w:rsidR="00375E95">
        <w:rPr>
          <w:rFonts w:ascii="Candara" w:hAnsi="Candara" w:cs="Myriad Pro"/>
          <w:kern w:val="1"/>
          <w:sz w:val="22"/>
          <w:szCs w:val="22"/>
        </w:rPr>
        <w:t xml:space="preserve"> </w:t>
      </w:r>
    </w:p>
    <w:p w14:paraId="0128726C" w14:textId="77777777" w:rsidR="001E30F3" w:rsidRPr="001E30F3" w:rsidRDefault="001E30F3" w:rsidP="00A9706A">
      <w:pPr>
        <w:ind w:left="1409" w:hanging="1409"/>
        <w:jc w:val="both"/>
        <w:rPr>
          <w:rFonts w:ascii="Candara" w:hAnsi="Candara" w:cs="Myriad Pro"/>
          <w:b/>
          <w:sz w:val="22"/>
          <w:szCs w:val="22"/>
          <w:u w:val="single"/>
        </w:rPr>
      </w:pPr>
    </w:p>
    <w:p w14:paraId="13317BDE" w14:textId="72F66BD8" w:rsidR="001E30F3" w:rsidRPr="00A87399" w:rsidRDefault="001E30F3" w:rsidP="00A9706A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Candara" w:hAnsi="Candara" w:cs="Myriad Pro"/>
          <w:b/>
          <w:u w:val="single"/>
        </w:rPr>
      </w:pPr>
      <w:r w:rsidRPr="001E30F3">
        <w:rPr>
          <w:rFonts w:ascii="Candara" w:hAnsi="Candara" w:cs="Myriad Pro"/>
          <w:b/>
          <w:u w:val="single"/>
        </w:rPr>
        <w:t>Szczegółowy zakres udzielanych świadczeń:</w:t>
      </w:r>
    </w:p>
    <w:p w14:paraId="6C69B70B" w14:textId="6E2049A1" w:rsidR="001E30F3" w:rsidRPr="001E30F3" w:rsidRDefault="001E30F3" w:rsidP="00A9706A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sz w:val="22"/>
          <w:szCs w:val="22"/>
        </w:rPr>
        <w:t xml:space="preserve">badanie pacjentów zgłaszających się do Poradni </w:t>
      </w:r>
      <w:r>
        <w:rPr>
          <w:rFonts w:ascii="Candara" w:hAnsi="Candara" w:cs="Myriad Pro"/>
          <w:sz w:val="22"/>
          <w:szCs w:val="22"/>
        </w:rPr>
        <w:t>Chorób Metabolicznych</w:t>
      </w:r>
      <w:r w:rsidR="00C2286F">
        <w:rPr>
          <w:rFonts w:ascii="Candara" w:hAnsi="Candara" w:cs="Myriad Pro"/>
          <w:sz w:val="22"/>
          <w:szCs w:val="22"/>
        </w:rPr>
        <w:t>;</w:t>
      </w:r>
    </w:p>
    <w:p w14:paraId="2EA01CD1" w14:textId="42EBD1DA" w:rsidR="001E30F3" w:rsidRPr="001E30F3" w:rsidRDefault="001E30F3" w:rsidP="00A9706A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1704299A">
        <w:rPr>
          <w:rFonts w:ascii="Candara" w:hAnsi="Candara" w:cs="Myriad Pro"/>
          <w:sz w:val="22"/>
          <w:szCs w:val="22"/>
        </w:rPr>
        <w:t xml:space="preserve">ustalenie u </w:t>
      </w:r>
      <w:r w:rsidR="2504048F" w:rsidRPr="1704299A">
        <w:rPr>
          <w:rFonts w:ascii="Candara" w:hAnsi="Candara" w:cs="Myriad Pro"/>
          <w:sz w:val="22"/>
          <w:szCs w:val="22"/>
        </w:rPr>
        <w:t>pacjentów rozpoznania</w:t>
      </w:r>
      <w:r w:rsidRPr="1704299A">
        <w:rPr>
          <w:rFonts w:ascii="Candara" w:hAnsi="Candara" w:cs="Myriad Pro"/>
          <w:sz w:val="22"/>
          <w:szCs w:val="22"/>
        </w:rPr>
        <w:t xml:space="preserve"> medycznego oraz określenie dalszego procesu diagnostyczno-terapeutycznego (rozpoczęcie i kontynuacja leczenia)</w:t>
      </w:r>
      <w:r w:rsidR="00C2286F">
        <w:rPr>
          <w:rFonts w:ascii="Candara" w:hAnsi="Candara" w:cs="Myriad Pro"/>
          <w:sz w:val="22"/>
          <w:szCs w:val="22"/>
        </w:rPr>
        <w:t>;</w:t>
      </w:r>
    </w:p>
    <w:p w14:paraId="3B0B621F" w14:textId="5E3B2ABE" w:rsidR="001E30F3" w:rsidRPr="001E30F3" w:rsidRDefault="001E30F3" w:rsidP="001E30F3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sz w:val="22"/>
          <w:szCs w:val="22"/>
        </w:rPr>
        <w:t>prowadzenie leczenia zgodnie z aktualnym stanem wiedzy medycznej oraz zasadami etyki lekarskiej</w:t>
      </w:r>
      <w:r w:rsidR="00C2286F">
        <w:rPr>
          <w:rFonts w:ascii="Candara" w:hAnsi="Candara" w:cs="Myriad Pro"/>
          <w:sz w:val="22"/>
          <w:szCs w:val="22"/>
        </w:rPr>
        <w:t>;</w:t>
      </w:r>
    </w:p>
    <w:p w14:paraId="3EC00492" w14:textId="73C276AD" w:rsidR="001E30F3" w:rsidRPr="001E30F3" w:rsidRDefault="001E30F3" w:rsidP="001E30F3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sz w:val="22"/>
          <w:szCs w:val="22"/>
        </w:rPr>
        <w:t>prowadzenie dokumentacji medycznej zgodnie z obowiązującymi przepisami prawa, z należytą starannością oraz zasadami wykonywania zawodu</w:t>
      </w:r>
      <w:r w:rsidR="00C2286F">
        <w:rPr>
          <w:rFonts w:ascii="Candara" w:hAnsi="Candara" w:cs="Myriad Pro"/>
          <w:sz w:val="22"/>
          <w:szCs w:val="22"/>
        </w:rPr>
        <w:t>;</w:t>
      </w:r>
    </w:p>
    <w:p w14:paraId="22391E40" w14:textId="27677D35" w:rsidR="001E30F3" w:rsidRPr="001E30F3" w:rsidRDefault="001E30F3" w:rsidP="001E30F3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1704299A">
        <w:rPr>
          <w:rFonts w:ascii="Candara" w:hAnsi="Candara" w:cs="Myriad Pro"/>
          <w:sz w:val="22"/>
          <w:szCs w:val="22"/>
        </w:rPr>
        <w:t>staranne wykonywanie czynności administracyjnych przewidzianych przy przyjmowaniu pacjentów, a w szczególności w zakresie zasad kwalifikowania</w:t>
      </w:r>
      <w:r w:rsidR="00375E95">
        <w:rPr>
          <w:rFonts w:ascii="Candara" w:hAnsi="Candara" w:cs="Myriad Pro"/>
          <w:sz w:val="22"/>
          <w:szCs w:val="22"/>
        </w:rPr>
        <w:t xml:space="preserve"> i rozliczania</w:t>
      </w:r>
      <w:r w:rsidRPr="1704299A">
        <w:rPr>
          <w:rFonts w:ascii="Candara" w:hAnsi="Candara" w:cs="Myriad Pro"/>
          <w:sz w:val="22"/>
          <w:szCs w:val="22"/>
        </w:rPr>
        <w:t xml:space="preserve"> poszczególnych rodzajów porad zgodnie z </w:t>
      </w:r>
      <w:r w:rsidR="2A782D7A" w:rsidRPr="1704299A">
        <w:rPr>
          <w:rFonts w:ascii="Candara" w:hAnsi="Candara" w:cs="Myriad Pro"/>
          <w:sz w:val="22"/>
          <w:szCs w:val="22"/>
        </w:rPr>
        <w:t>obowiązującymi przepisami</w:t>
      </w:r>
      <w:r w:rsidRPr="1704299A">
        <w:rPr>
          <w:rFonts w:ascii="Candara" w:hAnsi="Candara" w:cs="Myriad Pro"/>
          <w:sz w:val="22"/>
          <w:szCs w:val="22"/>
        </w:rPr>
        <w:t xml:space="preserve"> Prezesa NFZ</w:t>
      </w:r>
      <w:r w:rsidR="00C2286F">
        <w:rPr>
          <w:rFonts w:ascii="Candara" w:hAnsi="Candara" w:cs="Myriad Pro"/>
          <w:sz w:val="22"/>
          <w:szCs w:val="22"/>
        </w:rPr>
        <w:t>;</w:t>
      </w:r>
    </w:p>
    <w:p w14:paraId="044A318E" w14:textId="158F8426" w:rsidR="001E30F3" w:rsidRPr="001E30F3" w:rsidRDefault="001E30F3" w:rsidP="001E30F3">
      <w:pPr>
        <w:widowControl/>
        <w:numPr>
          <w:ilvl w:val="0"/>
          <w:numId w:val="31"/>
        </w:numPr>
        <w:autoSpaceDE/>
        <w:jc w:val="both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sz w:val="22"/>
          <w:szCs w:val="22"/>
        </w:rPr>
        <w:t xml:space="preserve">w czasie ustalonych godzin przyjęć pacjentów przebywanie na terenie Poradni </w:t>
      </w:r>
      <w:r>
        <w:rPr>
          <w:rFonts w:ascii="Candara" w:hAnsi="Candara" w:cs="Myriad Pro"/>
          <w:sz w:val="22"/>
          <w:szCs w:val="22"/>
        </w:rPr>
        <w:t>Chorób Metabolicznych</w:t>
      </w:r>
      <w:r w:rsidR="00C2286F">
        <w:rPr>
          <w:rFonts w:ascii="Candara" w:hAnsi="Candara" w:cs="Myriad Pro"/>
          <w:sz w:val="22"/>
          <w:szCs w:val="22"/>
        </w:rPr>
        <w:t>.</w:t>
      </w:r>
    </w:p>
    <w:p w14:paraId="46A4892C" w14:textId="77777777" w:rsidR="001E30F3" w:rsidRPr="001E30F3" w:rsidRDefault="001E30F3" w:rsidP="001E30F3">
      <w:pPr>
        <w:ind w:left="284" w:hanging="284"/>
        <w:jc w:val="both"/>
        <w:rPr>
          <w:rFonts w:ascii="Candara" w:hAnsi="Candara" w:cs="Myriad Pro"/>
          <w:sz w:val="22"/>
          <w:szCs w:val="22"/>
        </w:rPr>
      </w:pPr>
    </w:p>
    <w:p w14:paraId="312F2C1C" w14:textId="04D034CA" w:rsidR="001E30F3" w:rsidRPr="001B5C2F" w:rsidRDefault="001E30F3" w:rsidP="001B5C2F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Candara" w:hAnsi="Candara" w:cs="Myriad Pro"/>
          <w:b/>
          <w:bCs/>
        </w:rPr>
      </w:pPr>
      <w:r w:rsidRPr="001B5C2F">
        <w:rPr>
          <w:rFonts w:ascii="Candara" w:hAnsi="Candara" w:cs="Myriad Pro"/>
          <w:b/>
          <w:bCs/>
          <w:kern w:val="1"/>
        </w:rPr>
        <w:t>Szacunkowa liczba świadczeń w okresie trwania umowy:</w:t>
      </w:r>
    </w:p>
    <w:tbl>
      <w:tblPr>
        <w:tblW w:w="896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66"/>
        <w:gridCol w:w="3905"/>
        <w:gridCol w:w="4395"/>
      </w:tblGrid>
      <w:tr w:rsidR="001E30F3" w:rsidRPr="001E30F3" w14:paraId="1EFC67F0" w14:textId="77777777" w:rsidTr="1704299A">
        <w:trPr>
          <w:trHeight w:val="526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BC00D1" w14:textId="77777777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78392D" w14:textId="77777777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Zakres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58E0" w14:textId="107D13D1" w:rsidR="001E30F3" w:rsidRPr="001E30F3" w:rsidRDefault="4F8EB321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1704299A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Szacunkowa maksymalna</w:t>
            </w:r>
            <w:r w:rsidR="001E30F3" w:rsidRPr="1704299A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 xml:space="preserve"> oczekiwana liczba porad </w:t>
            </w:r>
          </w:p>
        </w:tc>
      </w:tr>
      <w:tr w:rsidR="001E30F3" w:rsidRPr="001E30F3" w14:paraId="4ADA1041" w14:textId="77777777" w:rsidTr="1704299A">
        <w:trPr>
          <w:trHeight w:val="300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2C1EA7" w14:textId="77777777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A0DCE9" w14:textId="04EFA342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Porady pierwszorazowe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7B43B" w14:textId="192F7554" w:rsidR="001E30F3" w:rsidRPr="00AE663A" w:rsidRDefault="00FA08D8" w:rsidP="000B7A51">
            <w:pPr>
              <w:snapToGrid w:val="0"/>
              <w:rPr>
                <w:rFonts w:ascii="Candara" w:eastAsia="Calibri" w:hAnsi="Candara" w:cs="Myriad Pro"/>
                <w:sz w:val="22"/>
                <w:szCs w:val="22"/>
              </w:rPr>
            </w:pPr>
            <w:r>
              <w:rPr>
                <w:rFonts w:ascii="Candara" w:eastAsia="Calibri" w:hAnsi="Candara" w:cs="Myriad Pro"/>
                <w:sz w:val="22"/>
                <w:szCs w:val="22"/>
              </w:rPr>
              <w:t>2000</w:t>
            </w:r>
          </w:p>
        </w:tc>
      </w:tr>
      <w:tr w:rsidR="001E30F3" w:rsidRPr="001E30F3" w14:paraId="26B4DA50" w14:textId="77777777" w:rsidTr="1704299A">
        <w:trPr>
          <w:trHeight w:val="206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FCEFFF" w14:textId="77777777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8FCFD9" w14:textId="7856BC8B" w:rsidR="001E30F3" w:rsidRPr="001E30F3" w:rsidRDefault="001E30F3" w:rsidP="000B7A51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Porady kontynuacyjne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572E0" w14:textId="52239E2E" w:rsidR="009759D0" w:rsidRPr="001E30F3" w:rsidRDefault="009759D0" w:rsidP="000B7A51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  <w:r w:rsidR="00FA08D8">
              <w:rPr>
                <w:rFonts w:ascii="Candara" w:hAnsi="Candara"/>
                <w:sz w:val="22"/>
                <w:szCs w:val="22"/>
              </w:rPr>
              <w:t>1</w:t>
            </w:r>
            <w:r>
              <w:rPr>
                <w:rFonts w:ascii="Candara" w:hAnsi="Candara"/>
                <w:sz w:val="22"/>
                <w:szCs w:val="22"/>
              </w:rPr>
              <w:t>000</w:t>
            </w:r>
          </w:p>
        </w:tc>
      </w:tr>
      <w:tr w:rsidR="001E30F3" w:rsidRPr="001E30F3" w14:paraId="13B002FD" w14:textId="77777777" w:rsidTr="1704299A">
        <w:trPr>
          <w:trHeight w:val="859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4D2AA8" w14:textId="77777777" w:rsidR="001E30F3" w:rsidRPr="001E30F3" w:rsidRDefault="001E30F3" w:rsidP="000B7A51">
            <w:pPr>
              <w:snapToGrid w:val="0"/>
              <w:rPr>
                <w:rFonts w:ascii="Candara" w:eastAsia="Calibri" w:hAnsi="Candara" w:cs="Myriad Pro"/>
                <w:b/>
                <w:sz w:val="22"/>
                <w:szCs w:val="22"/>
              </w:rPr>
            </w:pPr>
          </w:p>
          <w:p w14:paraId="206A65DF" w14:textId="6590BBFF" w:rsidR="001E30F3" w:rsidRPr="001E30F3" w:rsidRDefault="00AA1299" w:rsidP="000B7A51">
            <w:pPr>
              <w:snapToGrid w:val="0"/>
              <w:rPr>
                <w:rFonts w:ascii="Candara" w:eastAsia="Calibri" w:hAnsi="Candara" w:cs="Myriad Pro"/>
                <w:b/>
                <w:sz w:val="22"/>
                <w:szCs w:val="22"/>
              </w:rPr>
            </w:pPr>
            <w:r>
              <w:rPr>
                <w:rFonts w:ascii="Candara" w:eastAsia="Calibri" w:hAnsi="Candara" w:cs="Myriad Pro"/>
                <w:b/>
                <w:sz w:val="22"/>
                <w:szCs w:val="22"/>
              </w:rPr>
              <w:t>III</w:t>
            </w:r>
            <w:r w:rsidR="001E30F3" w:rsidRPr="001E30F3">
              <w:rPr>
                <w:rFonts w:ascii="Candara" w:eastAsia="Calibri" w:hAnsi="Candara" w:cs="Myriad Pro"/>
                <w:b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D2D2C9" w14:textId="77777777" w:rsidR="001E30F3" w:rsidRPr="001E30F3" w:rsidRDefault="001E30F3" w:rsidP="000B7A51">
            <w:pPr>
              <w:jc w:val="center"/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</w:p>
          <w:p w14:paraId="2EED3A65" w14:textId="77777777" w:rsidR="001E30F3" w:rsidRPr="001E30F3" w:rsidRDefault="001E30F3" w:rsidP="00D146C2">
            <w:pPr>
              <w:rPr>
                <w:rFonts w:ascii="Candara" w:hAnsi="Candara"/>
                <w:sz w:val="22"/>
                <w:szCs w:val="22"/>
              </w:rPr>
            </w:pPr>
            <w:r w:rsidRPr="001E30F3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Łączna liczba świadczeń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60488" w14:textId="77777777" w:rsidR="00D146C2" w:rsidRDefault="00D146C2" w:rsidP="00D146C2">
            <w:pPr>
              <w:jc w:val="center"/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</w:p>
          <w:p w14:paraId="5989B9F6" w14:textId="41E14E54" w:rsidR="001E30F3" w:rsidRPr="001E30F3" w:rsidRDefault="009759D0" w:rsidP="00D146C2">
            <w:pP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</w:pPr>
            <w: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13</w:t>
            </w:r>
            <w:r w:rsidR="00901B89"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0</w:t>
            </w:r>
            <w:r>
              <w:rPr>
                <w:rFonts w:ascii="Candara" w:eastAsia="Calibri" w:hAnsi="Candara" w:cs="Myriad Pro"/>
                <w:b/>
                <w:bCs/>
                <w:sz w:val="22"/>
                <w:szCs w:val="22"/>
              </w:rPr>
              <w:t>00</w:t>
            </w:r>
          </w:p>
        </w:tc>
      </w:tr>
    </w:tbl>
    <w:p w14:paraId="626F579C" w14:textId="77777777" w:rsidR="001E30F3" w:rsidRPr="001E30F3" w:rsidRDefault="001E30F3" w:rsidP="001E30F3">
      <w:pPr>
        <w:shd w:val="clear" w:color="auto" w:fill="FFFFFF"/>
        <w:spacing w:line="360" w:lineRule="auto"/>
        <w:ind w:left="1080"/>
        <w:jc w:val="both"/>
        <w:rPr>
          <w:rFonts w:ascii="Candara" w:hAnsi="Candara" w:cs="Myriad Pro"/>
          <w:kern w:val="1"/>
          <w:sz w:val="22"/>
          <w:szCs w:val="22"/>
        </w:rPr>
      </w:pPr>
    </w:p>
    <w:p w14:paraId="36C4EDA0" w14:textId="2CEEB50F" w:rsidR="00B4733E" w:rsidRDefault="001E30F3" w:rsidP="00B4733E">
      <w:pPr>
        <w:pStyle w:val="Akapitzlist"/>
        <w:numPr>
          <w:ilvl w:val="0"/>
          <w:numId w:val="34"/>
        </w:numPr>
        <w:jc w:val="both"/>
        <w:rPr>
          <w:rFonts w:ascii="Candara" w:hAnsi="Candara" w:cs="Myriad Pro"/>
        </w:rPr>
      </w:pPr>
      <w:r w:rsidRPr="00DB5C2F">
        <w:rPr>
          <w:rFonts w:ascii="Candara" w:hAnsi="Candara" w:cs="Myriad Pro"/>
        </w:rPr>
        <w:t xml:space="preserve">Udzielający Zamówienia określa </w:t>
      </w:r>
      <w:r w:rsidR="00165CEA">
        <w:rPr>
          <w:rFonts w:ascii="Candara" w:hAnsi="Candara" w:cs="Myriad Pro"/>
        </w:rPr>
        <w:t>przeciętny</w:t>
      </w:r>
      <w:r w:rsidRPr="00DB5C2F">
        <w:rPr>
          <w:rFonts w:ascii="Candara" w:hAnsi="Candara" w:cs="Myriad Pro"/>
        </w:rPr>
        <w:t xml:space="preserve"> czas trwania porady </w:t>
      </w:r>
      <w:r w:rsidR="00B4733E">
        <w:rPr>
          <w:rFonts w:ascii="Candara" w:hAnsi="Candara" w:cs="Myriad Pro"/>
        </w:rPr>
        <w:t>specjalistycznej</w:t>
      </w:r>
      <w:r w:rsidRPr="00DB5C2F">
        <w:rPr>
          <w:rFonts w:ascii="Candara" w:hAnsi="Candara" w:cs="Myriad Pro"/>
        </w:rPr>
        <w:t xml:space="preserve"> kontynuacyjnej</w:t>
      </w:r>
      <w:r w:rsidR="00C2286F">
        <w:rPr>
          <w:rFonts w:ascii="Candara" w:hAnsi="Candara" w:cs="Myriad Pro"/>
        </w:rPr>
        <w:t xml:space="preserve"> w wymiarze</w:t>
      </w:r>
      <w:r w:rsidRPr="00DB5C2F">
        <w:rPr>
          <w:rFonts w:ascii="Candara" w:hAnsi="Candara" w:cs="Myriad Pro"/>
        </w:rPr>
        <w:t xml:space="preserve"> 15 minut</w:t>
      </w:r>
      <w:r w:rsidR="00C2286F">
        <w:rPr>
          <w:rFonts w:ascii="Candara" w:hAnsi="Candara" w:cs="Myriad Pro"/>
        </w:rPr>
        <w:t>;</w:t>
      </w:r>
    </w:p>
    <w:p w14:paraId="731D3924" w14:textId="6B2E01A0" w:rsidR="001E30F3" w:rsidRDefault="001E30F3" w:rsidP="00B4733E">
      <w:pPr>
        <w:pStyle w:val="Akapitzlist"/>
        <w:numPr>
          <w:ilvl w:val="0"/>
          <w:numId w:val="34"/>
        </w:numPr>
        <w:jc w:val="both"/>
        <w:rPr>
          <w:rFonts w:ascii="Candara" w:hAnsi="Candara" w:cs="Myriad Pro"/>
        </w:rPr>
      </w:pPr>
      <w:r w:rsidRPr="00B4733E">
        <w:rPr>
          <w:rFonts w:ascii="Candara" w:hAnsi="Candara" w:cs="Myriad Pro"/>
        </w:rPr>
        <w:t xml:space="preserve">Udzielający Zamówienia określa </w:t>
      </w:r>
      <w:r w:rsidR="00165CEA">
        <w:rPr>
          <w:rFonts w:ascii="Candara" w:hAnsi="Candara" w:cs="Myriad Pro"/>
        </w:rPr>
        <w:t>przeciętny</w:t>
      </w:r>
      <w:r w:rsidRPr="00B4733E">
        <w:rPr>
          <w:rFonts w:ascii="Candara" w:hAnsi="Candara" w:cs="Myriad Pro"/>
        </w:rPr>
        <w:t xml:space="preserve"> czas trwania porady </w:t>
      </w:r>
      <w:r w:rsidR="00B4733E">
        <w:rPr>
          <w:rFonts w:ascii="Candara" w:hAnsi="Candara" w:cs="Myriad Pro"/>
        </w:rPr>
        <w:t>specjalistycznej</w:t>
      </w:r>
      <w:r w:rsidRPr="00B4733E">
        <w:rPr>
          <w:rFonts w:ascii="Candara" w:hAnsi="Candara" w:cs="Myriad Pro"/>
        </w:rPr>
        <w:t xml:space="preserve"> pierwszorazowej </w:t>
      </w:r>
      <w:r w:rsidR="00C2286F">
        <w:rPr>
          <w:rFonts w:ascii="Candara" w:hAnsi="Candara" w:cs="Myriad Pro"/>
        </w:rPr>
        <w:t>w wymiarze</w:t>
      </w:r>
      <w:r w:rsidRPr="00B4733E">
        <w:rPr>
          <w:rFonts w:ascii="Candara" w:hAnsi="Candara" w:cs="Myriad Pro"/>
        </w:rPr>
        <w:t xml:space="preserve"> 30 minut  </w:t>
      </w:r>
    </w:p>
    <w:p w14:paraId="39429418" w14:textId="77777777" w:rsidR="00C84482" w:rsidRDefault="00C84482" w:rsidP="00C84482">
      <w:pPr>
        <w:jc w:val="both"/>
        <w:rPr>
          <w:rFonts w:ascii="Candara" w:hAnsi="Candara" w:cs="Myriad Pro"/>
        </w:rPr>
      </w:pPr>
    </w:p>
    <w:p w14:paraId="3C5E856A" w14:textId="77777777" w:rsidR="00C84482" w:rsidRPr="00C84482" w:rsidRDefault="00C84482" w:rsidP="00C84482">
      <w:pPr>
        <w:jc w:val="both"/>
        <w:rPr>
          <w:rFonts w:ascii="Candara" w:hAnsi="Candara" w:cs="Myriad Pro"/>
        </w:rPr>
      </w:pPr>
    </w:p>
    <w:p w14:paraId="24195887" w14:textId="77777777" w:rsidR="001E30F3" w:rsidRPr="001E30F3" w:rsidRDefault="001E30F3" w:rsidP="001E30F3">
      <w:pPr>
        <w:jc w:val="both"/>
        <w:rPr>
          <w:rFonts w:ascii="Candara" w:hAnsi="Candara" w:cs="Myriad Pro"/>
          <w:sz w:val="22"/>
          <w:szCs w:val="22"/>
        </w:rPr>
      </w:pPr>
    </w:p>
    <w:p w14:paraId="7B66011D" w14:textId="40DEE453" w:rsidR="001E30F3" w:rsidRPr="001B5C2F" w:rsidRDefault="001E30F3" w:rsidP="001B5C2F">
      <w:pPr>
        <w:pStyle w:val="Akapitzlist"/>
        <w:numPr>
          <w:ilvl w:val="0"/>
          <w:numId w:val="33"/>
        </w:numPr>
        <w:jc w:val="both"/>
        <w:rPr>
          <w:rFonts w:ascii="Candara" w:hAnsi="Candara" w:cs="Myriad Pro"/>
          <w:b/>
          <w:bCs/>
        </w:rPr>
      </w:pPr>
      <w:r w:rsidRPr="001B5C2F">
        <w:rPr>
          <w:rFonts w:ascii="Candara" w:hAnsi="Candara" w:cs="Myriad Pro"/>
          <w:b/>
          <w:bCs/>
        </w:rPr>
        <w:lastRenderedPageBreak/>
        <w:t>Wymagania dotyczące Wykonawcy:</w:t>
      </w:r>
    </w:p>
    <w:p w14:paraId="75E6938F" w14:textId="77777777" w:rsidR="001E30F3" w:rsidRPr="001E30F3" w:rsidRDefault="001E30F3" w:rsidP="001B5C2F">
      <w:pPr>
        <w:jc w:val="both"/>
        <w:rPr>
          <w:rFonts w:ascii="Candara" w:hAnsi="Candara" w:cs="Myriad Pro"/>
          <w:sz w:val="22"/>
          <w:szCs w:val="22"/>
        </w:rPr>
      </w:pPr>
    </w:p>
    <w:p w14:paraId="7CAEE075" w14:textId="438F745E" w:rsidR="00BB4DE9" w:rsidRPr="00BB4DE9" w:rsidRDefault="00BB4DE9" w:rsidP="00BB4DE9">
      <w:pPr>
        <w:pStyle w:val="Akapitzlist"/>
        <w:numPr>
          <w:ilvl w:val="1"/>
          <w:numId w:val="31"/>
        </w:numPr>
        <w:jc w:val="both"/>
        <w:rPr>
          <w:rFonts w:ascii="Candara" w:hAnsi="Candara" w:cs="Myriad Pro"/>
        </w:rPr>
      </w:pPr>
      <w:bookmarkStart w:id="0" w:name="_Hlk149816258"/>
      <w:r>
        <w:rPr>
          <w:rFonts w:ascii="Candara" w:hAnsi="Candara" w:cs="Myriad Pro"/>
        </w:rPr>
        <w:t>jest</w:t>
      </w:r>
      <w:r w:rsidRPr="00BB4DE9">
        <w:rPr>
          <w:rFonts w:ascii="Candara" w:hAnsi="Candara" w:cs="Myriad Pro"/>
        </w:rPr>
        <w:t xml:space="preserve"> podmiot</w:t>
      </w:r>
      <w:r>
        <w:rPr>
          <w:rFonts w:ascii="Candara" w:hAnsi="Candara" w:cs="Myriad Pro"/>
        </w:rPr>
        <w:t xml:space="preserve">em </w:t>
      </w:r>
      <w:r w:rsidRPr="00BB4DE9">
        <w:rPr>
          <w:rFonts w:ascii="Candara" w:hAnsi="Candara" w:cs="Myriad Pro"/>
        </w:rPr>
        <w:t>wymienionym w art. 26 ustawy z dnia 15 kwietnia 2011 r. o działalności leczniczej,</w:t>
      </w:r>
    </w:p>
    <w:p w14:paraId="5BE5EFC0" w14:textId="6DDF53DA" w:rsidR="00BB4DE9" w:rsidRPr="00BB4DE9" w:rsidRDefault="00BB4DE9" w:rsidP="00BB4DE9">
      <w:pPr>
        <w:pStyle w:val="Akapitzlist"/>
        <w:numPr>
          <w:ilvl w:val="1"/>
          <w:numId w:val="31"/>
        </w:numPr>
        <w:jc w:val="both"/>
        <w:rPr>
          <w:rFonts w:ascii="Candara" w:hAnsi="Candara" w:cs="Myriad Pro"/>
        </w:rPr>
      </w:pPr>
      <w:r w:rsidRPr="00BB4DE9">
        <w:rPr>
          <w:rFonts w:ascii="Candara" w:hAnsi="Candara" w:cs="Myriad Pro"/>
        </w:rPr>
        <w:t>jest uprawniony do występowania w obrocie prawnym zgodnie z wymaganiami ustawowymi, przede wszystkim jest zarejestrowany we właściwych rejestrach podmiotów leczniczych, rejestrach przedsiębiorców oraz posiada nadany numer REGON i NIP,</w:t>
      </w:r>
    </w:p>
    <w:p w14:paraId="600EA594" w14:textId="5520C4C3" w:rsidR="00BB4DE9" w:rsidRPr="00BB4DE9" w:rsidRDefault="00BB4DE9" w:rsidP="00BB4DE9">
      <w:pPr>
        <w:pStyle w:val="Akapitzlist"/>
        <w:numPr>
          <w:ilvl w:val="1"/>
          <w:numId w:val="31"/>
        </w:numPr>
        <w:jc w:val="both"/>
        <w:rPr>
          <w:rFonts w:ascii="Candara" w:hAnsi="Candara" w:cs="Myriad Pro"/>
        </w:rPr>
      </w:pPr>
      <w:r w:rsidRPr="00BB4DE9">
        <w:rPr>
          <w:rFonts w:ascii="Candara" w:hAnsi="Candara" w:cs="Myriad Pro"/>
        </w:rPr>
        <w:t>posiada uprawnienia niezbędne do wykonania zamówienia, w szczególności do wykonywania świadczeń objętych przedmiotem konkursu tj.: posiada nieograniczone prawo wykonywania zawodu lekarza oraz tytuł specjalisty albo specjalizację 2 stopnia w dziedzinie chorób wewnętrznych lub diabetologii lub endokrynologii,</w:t>
      </w:r>
    </w:p>
    <w:p w14:paraId="2CF30C16" w14:textId="77777777" w:rsidR="00BB4DE9" w:rsidRPr="00BB4DE9" w:rsidRDefault="00BB4DE9" w:rsidP="00BB4DE9">
      <w:pPr>
        <w:pStyle w:val="Akapitzlist"/>
        <w:numPr>
          <w:ilvl w:val="1"/>
          <w:numId w:val="31"/>
        </w:numPr>
        <w:jc w:val="both"/>
        <w:rPr>
          <w:rFonts w:ascii="Candara" w:hAnsi="Candara" w:cs="Myriad Pro"/>
        </w:rPr>
      </w:pPr>
      <w:r w:rsidRPr="00BB4DE9">
        <w:rPr>
          <w:rFonts w:ascii="Candara" w:hAnsi="Candara" w:cs="Myriad Pro"/>
        </w:rPr>
        <w:t>jest ubezpieczony od odpowiedzialności cywilnej w zakresie prowadzonej działalności leczniczej.</w:t>
      </w:r>
    </w:p>
    <w:p w14:paraId="22B2AD34" w14:textId="77777777" w:rsidR="00BB4DE9" w:rsidRPr="0061099D" w:rsidRDefault="00BB4DE9" w:rsidP="0061099D">
      <w:pPr>
        <w:pStyle w:val="Akapitzlist"/>
        <w:ind w:left="1080"/>
        <w:jc w:val="both"/>
        <w:rPr>
          <w:rFonts w:ascii="Candara" w:hAnsi="Candara" w:cs="Myriad Pro"/>
        </w:rPr>
      </w:pPr>
    </w:p>
    <w:bookmarkEnd w:id="0"/>
    <w:p w14:paraId="19C8695E" w14:textId="77777777" w:rsidR="001E30F3" w:rsidRPr="001E30F3" w:rsidRDefault="001E30F3" w:rsidP="001E30F3">
      <w:pPr>
        <w:ind w:left="1409" w:hanging="765"/>
        <w:jc w:val="both"/>
        <w:rPr>
          <w:rFonts w:ascii="Candara" w:hAnsi="Candara" w:cs="Myriad Pro"/>
          <w:sz w:val="22"/>
          <w:szCs w:val="22"/>
        </w:rPr>
      </w:pPr>
    </w:p>
    <w:p w14:paraId="387F03AE" w14:textId="383B842C" w:rsidR="001E30F3" w:rsidRPr="001B5C2F" w:rsidRDefault="001E30F3" w:rsidP="001B5C2F">
      <w:pPr>
        <w:pStyle w:val="Akapitzlist"/>
        <w:numPr>
          <w:ilvl w:val="0"/>
          <w:numId w:val="33"/>
        </w:numPr>
        <w:jc w:val="both"/>
        <w:rPr>
          <w:rFonts w:ascii="Candara" w:hAnsi="Candara" w:cs="Myriad Pro"/>
          <w:b/>
          <w:bCs/>
        </w:rPr>
      </w:pPr>
      <w:r w:rsidRPr="001B5C2F">
        <w:rPr>
          <w:rFonts w:ascii="Candara" w:hAnsi="Candara" w:cs="Myriad Pro"/>
          <w:b/>
          <w:bCs/>
        </w:rPr>
        <w:t>Kryteria oceny ofert</w:t>
      </w:r>
    </w:p>
    <w:p w14:paraId="7BBCFD74" w14:textId="77777777" w:rsidR="001E30F3" w:rsidRPr="001E30F3" w:rsidRDefault="001E30F3" w:rsidP="001E30F3">
      <w:pPr>
        <w:ind w:left="284" w:hanging="284"/>
        <w:jc w:val="both"/>
        <w:rPr>
          <w:rFonts w:ascii="Candara" w:hAnsi="Candara" w:cs="Myriad Pro"/>
          <w:sz w:val="22"/>
          <w:szCs w:val="22"/>
        </w:rPr>
      </w:pPr>
    </w:p>
    <w:p w14:paraId="67B8EDDA" w14:textId="77777777" w:rsidR="001E30F3" w:rsidRPr="0063632D" w:rsidRDefault="001E30F3" w:rsidP="0063632D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  <w:r w:rsidRPr="0063632D">
        <w:rPr>
          <w:rFonts w:ascii="Candara" w:eastAsia="Times New Roman" w:hAnsi="Candara" w:cstheme="majorHAnsi"/>
          <w:bCs/>
        </w:rPr>
        <w:t>Udzielający zamówienia określił wymagania konieczne do spełnienia przez Oferenta, które zabezpieczają wymagany standard świadczonych usług. Odrzuceniu podlegać będą oferty nie spełniające wymogów określonych przez Udzielającego zamówienia jako obligatoryjne.</w:t>
      </w:r>
    </w:p>
    <w:p w14:paraId="38071F2C" w14:textId="48C7062C" w:rsidR="00B901CF" w:rsidRDefault="001E30F3" w:rsidP="00B901CF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  <w:r w:rsidRPr="0063632D">
        <w:rPr>
          <w:rFonts w:ascii="Candara" w:eastAsia="Times New Roman" w:hAnsi="Candara" w:cstheme="majorHAnsi"/>
          <w:bCs/>
        </w:rPr>
        <w:t>W odniesieniu do Oferentów, którzy spełnili warunki formalne zostanie dokonana ocena ich ofert w oparciu o kryterium ceny</w:t>
      </w:r>
      <w:r w:rsidR="00A35F44">
        <w:rPr>
          <w:rFonts w:ascii="Candara" w:eastAsia="Times New Roman" w:hAnsi="Candara" w:cstheme="majorHAnsi"/>
          <w:bCs/>
        </w:rPr>
        <w:t xml:space="preserve"> i dostępności. </w:t>
      </w:r>
    </w:p>
    <w:p w14:paraId="437C277B" w14:textId="77777777" w:rsidR="00B901CF" w:rsidRDefault="00B901CF" w:rsidP="00B901CF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</w:p>
    <w:p w14:paraId="1664456A" w14:textId="58906028" w:rsidR="00B901CF" w:rsidRDefault="00B901CF" w:rsidP="00B901CF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  <w:r w:rsidRPr="0061099D">
        <w:rPr>
          <w:rFonts w:ascii="Candara" w:eastAsia="Times New Roman" w:hAnsi="Candara" w:cstheme="majorHAnsi"/>
          <w:bCs/>
        </w:rPr>
        <w:t>Rozstrzygnięcie konkursu oznacza wskazanie oferentów wybranych w wyniku postępowania konkursowego</w:t>
      </w:r>
      <w:r>
        <w:rPr>
          <w:rFonts w:ascii="Candara" w:eastAsia="Times New Roman" w:hAnsi="Candara" w:cstheme="majorHAnsi"/>
          <w:bCs/>
        </w:rPr>
        <w:t xml:space="preserve"> </w:t>
      </w:r>
      <w:r w:rsidRPr="0061099D">
        <w:rPr>
          <w:rFonts w:ascii="Candara" w:eastAsia="Times New Roman" w:hAnsi="Candara" w:cstheme="majorHAnsi"/>
          <w:bCs/>
        </w:rPr>
        <w:t xml:space="preserve">zapewniających realizację zapotrzebowania </w:t>
      </w:r>
      <w:r>
        <w:rPr>
          <w:rFonts w:ascii="Candara" w:eastAsia="Times New Roman" w:hAnsi="Candara" w:cstheme="majorHAnsi"/>
          <w:bCs/>
        </w:rPr>
        <w:t>Zamawiającego</w:t>
      </w:r>
      <w:r w:rsidRPr="0061099D">
        <w:rPr>
          <w:rFonts w:ascii="Candara" w:eastAsia="Times New Roman" w:hAnsi="Candara" w:cstheme="majorHAnsi"/>
          <w:bCs/>
        </w:rPr>
        <w:t xml:space="preserve"> odnośnie </w:t>
      </w:r>
      <w:r>
        <w:rPr>
          <w:rFonts w:ascii="Candara" w:eastAsia="Times New Roman" w:hAnsi="Candara" w:cstheme="majorHAnsi"/>
          <w:bCs/>
        </w:rPr>
        <w:t>liczby</w:t>
      </w:r>
      <w:r w:rsidRPr="0061099D">
        <w:rPr>
          <w:rFonts w:ascii="Candara" w:eastAsia="Times New Roman" w:hAnsi="Candara" w:cstheme="majorHAnsi"/>
          <w:bCs/>
        </w:rPr>
        <w:t xml:space="preserve"> </w:t>
      </w:r>
      <w:r>
        <w:rPr>
          <w:rFonts w:ascii="Candara" w:eastAsia="Times New Roman" w:hAnsi="Candara" w:cstheme="majorHAnsi"/>
          <w:bCs/>
        </w:rPr>
        <w:t>godzin dostępności oferenta do udzielania porad</w:t>
      </w:r>
      <w:r w:rsidRPr="0061099D">
        <w:rPr>
          <w:rFonts w:ascii="Candara" w:eastAsia="Times New Roman" w:hAnsi="Candara" w:cstheme="majorHAnsi"/>
          <w:bCs/>
        </w:rPr>
        <w:t xml:space="preserve"> stanowiących przedmiot zamówienia</w:t>
      </w:r>
      <w:r w:rsidR="000631D2">
        <w:rPr>
          <w:rFonts w:ascii="Candara" w:eastAsia="Times New Roman" w:hAnsi="Candara" w:cstheme="majorHAnsi"/>
          <w:bCs/>
        </w:rPr>
        <w:t>.</w:t>
      </w:r>
    </w:p>
    <w:p w14:paraId="3881F87D" w14:textId="35C5D1EC" w:rsidR="00B901CF" w:rsidRPr="0063632D" w:rsidRDefault="00B901CF" w:rsidP="00B901CF">
      <w:pPr>
        <w:pStyle w:val="Akapitzlist"/>
        <w:spacing w:line="360" w:lineRule="auto"/>
        <w:ind w:left="0"/>
        <w:jc w:val="both"/>
        <w:rPr>
          <w:rFonts w:ascii="Candara" w:eastAsia="Times New Roman" w:hAnsi="Candara" w:cstheme="majorHAnsi"/>
          <w:bCs/>
        </w:rPr>
      </w:pPr>
      <w:r w:rsidRPr="0061099D">
        <w:rPr>
          <w:rFonts w:ascii="Candara" w:eastAsia="Times New Roman" w:hAnsi="Candara" w:cstheme="majorHAnsi"/>
          <w:bCs/>
        </w:rPr>
        <w:t xml:space="preserve">W przypadku przekroczenia liczby </w:t>
      </w:r>
      <w:r>
        <w:rPr>
          <w:rFonts w:ascii="Candara" w:eastAsia="Times New Roman" w:hAnsi="Candara" w:cstheme="majorHAnsi"/>
          <w:bCs/>
        </w:rPr>
        <w:t>godzin dostępności oferenta do udzielania porad stanowiących przedmiot zamówienia</w:t>
      </w:r>
      <w:r w:rsidRPr="0061099D">
        <w:rPr>
          <w:rFonts w:ascii="Candara" w:eastAsia="Times New Roman" w:hAnsi="Candara" w:cstheme="majorHAnsi"/>
          <w:bCs/>
        </w:rPr>
        <w:t xml:space="preserve"> objętej zapotrzebowaniem</w:t>
      </w:r>
      <w:r>
        <w:rPr>
          <w:rFonts w:ascii="Candara" w:eastAsia="Times New Roman" w:hAnsi="Candara" w:cstheme="majorHAnsi"/>
          <w:bCs/>
        </w:rPr>
        <w:t xml:space="preserve"> </w:t>
      </w:r>
      <w:r w:rsidRPr="0061099D">
        <w:rPr>
          <w:rFonts w:ascii="Candara" w:eastAsia="Times New Roman" w:hAnsi="Candara" w:cstheme="majorHAnsi"/>
          <w:bCs/>
        </w:rPr>
        <w:t xml:space="preserve">w wyniku wyboru większej </w:t>
      </w:r>
      <w:r>
        <w:rPr>
          <w:rFonts w:ascii="Candara" w:eastAsia="Times New Roman" w:hAnsi="Candara" w:cstheme="majorHAnsi"/>
          <w:bCs/>
        </w:rPr>
        <w:t>liczby</w:t>
      </w:r>
      <w:r w:rsidRPr="0061099D">
        <w:rPr>
          <w:rFonts w:ascii="Candara" w:eastAsia="Times New Roman" w:hAnsi="Candara" w:cstheme="majorHAnsi"/>
          <w:bCs/>
        </w:rPr>
        <w:t xml:space="preserve"> oferentów </w:t>
      </w:r>
      <w:r>
        <w:rPr>
          <w:rFonts w:ascii="Candara" w:eastAsia="Times New Roman" w:hAnsi="Candara" w:cstheme="majorHAnsi"/>
          <w:bCs/>
        </w:rPr>
        <w:t>Zamawiający</w:t>
      </w:r>
      <w:r w:rsidRPr="0061099D">
        <w:rPr>
          <w:rFonts w:ascii="Candara" w:eastAsia="Times New Roman" w:hAnsi="Candara" w:cstheme="majorHAnsi"/>
          <w:bCs/>
        </w:rPr>
        <w:t xml:space="preserve"> zastrzega sobie prawo określenia w</w:t>
      </w:r>
      <w:r>
        <w:rPr>
          <w:rFonts w:ascii="Candara" w:eastAsia="Times New Roman" w:hAnsi="Candara" w:cstheme="majorHAnsi"/>
          <w:bCs/>
        </w:rPr>
        <w:t xml:space="preserve"> </w:t>
      </w:r>
      <w:r w:rsidRPr="0061099D">
        <w:rPr>
          <w:rFonts w:ascii="Candara" w:eastAsia="Times New Roman" w:hAnsi="Candara" w:cstheme="majorHAnsi"/>
          <w:bCs/>
        </w:rPr>
        <w:t xml:space="preserve">umowie zawartej </w:t>
      </w:r>
      <w:r w:rsidR="007F2880">
        <w:rPr>
          <w:rFonts w:ascii="Candara" w:eastAsia="Times New Roman" w:hAnsi="Candara" w:cstheme="majorHAnsi"/>
          <w:bCs/>
        </w:rPr>
        <w:t>z</w:t>
      </w:r>
      <w:r w:rsidRPr="0061099D">
        <w:rPr>
          <w:rFonts w:ascii="Candara" w:eastAsia="Times New Roman" w:hAnsi="Candara" w:cstheme="majorHAnsi"/>
          <w:bCs/>
        </w:rPr>
        <w:t xml:space="preserve"> tym oferentami takiej </w:t>
      </w:r>
      <w:r>
        <w:rPr>
          <w:rFonts w:ascii="Candara" w:eastAsia="Times New Roman" w:hAnsi="Candara" w:cstheme="majorHAnsi"/>
          <w:bCs/>
        </w:rPr>
        <w:t>liczby</w:t>
      </w:r>
      <w:r w:rsidRPr="0061099D">
        <w:rPr>
          <w:rFonts w:ascii="Candara" w:eastAsia="Times New Roman" w:hAnsi="Candara" w:cstheme="majorHAnsi"/>
          <w:bCs/>
        </w:rPr>
        <w:t xml:space="preserve"> godzin wykonywania świadczeń, która umożliwi dostosowanie </w:t>
      </w:r>
      <w:r w:rsidRPr="00B901CF">
        <w:rPr>
          <w:rFonts w:ascii="Candara" w:eastAsia="Times New Roman" w:hAnsi="Candara" w:cstheme="majorHAnsi"/>
          <w:bCs/>
        </w:rPr>
        <w:t xml:space="preserve">warunków umowy do zapotrzebowania </w:t>
      </w:r>
      <w:r>
        <w:rPr>
          <w:rFonts w:ascii="Candara" w:eastAsia="Times New Roman" w:hAnsi="Candara" w:cstheme="majorHAnsi"/>
          <w:bCs/>
        </w:rPr>
        <w:t>Zamawiającego.</w:t>
      </w:r>
    </w:p>
    <w:sectPr w:rsidR="00B901CF" w:rsidRPr="0063632D" w:rsidSect="00CC122C">
      <w:headerReference w:type="default" r:id="rId11"/>
      <w:footerReference w:type="default" r:id="rId12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753C" w14:textId="77777777" w:rsidR="0038033B" w:rsidRDefault="0038033B">
      <w:r>
        <w:separator/>
      </w:r>
    </w:p>
  </w:endnote>
  <w:endnote w:type="continuationSeparator" w:id="0">
    <w:p w14:paraId="44DCBF91" w14:textId="77777777" w:rsidR="0038033B" w:rsidRDefault="0038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D95B" w14:textId="77777777" w:rsidR="0038033B" w:rsidRDefault="0038033B">
      <w:r>
        <w:separator/>
      </w:r>
    </w:p>
  </w:footnote>
  <w:footnote w:type="continuationSeparator" w:id="0">
    <w:p w14:paraId="3FA8BC82" w14:textId="77777777" w:rsidR="0038033B" w:rsidRDefault="0038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1" w15:restartNumberingAfterBreak="0">
    <w:nsid w:val="046B1E5F"/>
    <w:multiLevelType w:val="hybridMultilevel"/>
    <w:tmpl w:val="CE5881F2"/>
    <w:lvl w:ilvl="0" w:tplc="82903BC6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BE6A6C"/>
    <w:multiLevelType w:val="hybridMultilevel"/>
    <w:tmpl w:val="3D9A9B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8A2558F"/>
    <w:multiLevelType w:val="hybridMultilevel"/>
    <w:tmpl w:val="4BE039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2B64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073BEA"/>
    <w:multiLevelType w:val="hybridMultilevel"/>
    <w:tmpl w:val="96E674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88222B"/>
    <w:multiLevelType w:val="hybridMultilevel"/>
    <w:tmpl w:val="254A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865616"/>
    <w:multiLevelType w:val="hybridMultilevel"/>
    <w:tmpl w:val="C8BA1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D0662"/>
    <w:multiLevelType w:val="hybridMultilevel"/>
    <w:tmpl w:val="230E2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3EC2"/>
    <w:multiLevelType w:val="hybridMultilevel"/>
    <w:tmpl w:val="96944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D6193"/>
    <w:multiLevelType w:val="singleLevel"/>
    <w:tmpl w:val="6728F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1" w15:restartNumberingAfterBreak="0">
    <w:nsid w:val="23D60945"/>
    <w:multiLevelType w:val="hybridMultilevel"/>
    <w:tmpl w:val="F674849C"/>
    <w:lvl w:ilvl="0" w:tplc="8996CE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4CC667C"/>
    <w:multiLevelType w:val="hybridMultilevel"/>
    <w:tmpl w:val="DB92EF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320862"/>
    <w:multiLevelType w:val="hybridMultilevel"/>
    <w:tmpl w:val="8D4C0F1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625"/>
    <w:multiLevelType w:val="hybridMultilevel"/>
    <w:tmpl w:val="6226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03CF2"/>
    <w:multiLevelType w:val="hybridMultilevel"/>
    <w:tmpl w:val="22D0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05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950DD7"/>
    <w:multiLevelType w:val="hybridMultilevel"/>
    <w:tmpl w:val="3E103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663D23"/>
    <w:multiLevelType w:val="multilevel"/>
    <w:tmpl w:val="8C4A7D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3D517CBA"/>
    <w:multiLevelType w:val="hybridMultilevel"/>
    <w:tmpl w:val="6C2E8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8369B"/>
    <w:multiLevelType w:val="multilevel"/>
    <w:tmpl w:val="3514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66645"/>
    <w:multiLevelType w:val="singleLevel"/>
    <w:tmpl w:val="8F5E9E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491B41C7"/>
    <w:multiLevelType w:val="hybridMultilevel"/>
    <w:tmpl w:val="7528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0079"/>
    <w:multiLevelType w:val="hybridMultilevel"/>
    <w:tmpl w:val="BBF08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2A66"/>
    <w:multiLevelType w:val="hybridMultilevel"/>
    <w:tmpl w:val="A950D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85197"/>
    <w:multiLevelType w:val="hybridMultilevel"/>
    <w:tmpl w:val="C83AEF54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121280C"/>
    <w:multiLevelType w:val="hybridMultilevel"/>
    <w:tmpl w:val="3B1C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5576E"/>
    <w:multiLevelType w:val="hybridMultilevel"/>
    <w:tmpl w:val="D5CC6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366ACB"/>
    <w:multiLevelType w:val="hybridMultilevel"/>
    <w:tmpl w:val="E46CAEA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B8A53DA"/>
    <w:multiLevelType w:val="hybridMultilevel"/>
    <w:tmpl w:val="6CCA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2424A"/>
    <w:multiLevelType w:val="hybridMultilevel"/>
    <w:tmpl w:val="96085A4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4" w15:restartNumberingAfterBreak="0">
    <w:nsid w:val="70704265"/>
    <w:multiLevelType w:val="hybridMultilevel"/>
    <w:tmpl w:val="9DEE396E"/>
    <w:lvl w:ilvl="0" w:tplc="8C1C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E259A"/>
    <w:multiLevelType w:val="hybridMultilevel"/>
    <w:tmpl w:val="DD7C97D8"/>
    <w:lvl w:ilvl="0" w:tplc="34BC73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37D4"/>
    <w:multiLevelType w:val="hybridMultilevel"/>
    <w:tmpl w:val="EDFA1D50"/>
    <w:lvl w:ilvl="0" w:tplc="0415000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37" w15:restartNumberingAfterBreak="0">
    <w:nsid w:val="7C5052F5"/>
    <w:multiLevelType w:val="hybridMultilevel"/>
    <w:tmpl w:val="BBDC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0584">
    <w:abstractNumId w:val="16"/>
  </w:num>
  <w:num w:numId="2" w16cid:durableId="824784262">
    <w:abstractNumId w:val="20"/>
  </w:num>
  <w:num w:numId="3" w16cid:durableId="1515263767">
    <w:abstractNumId w:val="5"/>
  </w:num>
  <w:num w:numId="4" w16cid:durableId="2007438084">
    <w:abstractNumId w:val="35"/>
  </w:num>
  <w:num w:numId="5" w16cid:durableId="1134761311">
    <w:abstractNumId w:val="29"/>
  </w:num>
  <w:num w:numId="6" w16cid:durableId="760183707">
    <w:abstractNumId w:val="33"/>
  </w:num>
  <w:num w:numId="7" w16cid:durableId="385225959">
    <w:abstractNumId w:val="9"/>
  </w:num>
  <w:num w:numId="8" w16cid:durableId="142311176">
    <w:abstractNumId w:val="36"/>
  </w:num>
  <w:num w:numId="9" w16cid:durableId="35283222">
    <w:abstractNumId w:val="1"/>
  </w:num>
  <w:num w:numId="10" w16cid:durableId="759058620">
    <w:abstractNumId w:val="3"/>
  </w:num>
  <w:num w:numId="11" w16cid:durableId="177045160">
    <w:abstractNumId w:val="18"/>
  </w:num>
  <w:num w:numId="12" w16cid:durableId="1020006881">
    <w:abstractNumId w:val="6"/>
  </w:num>
  <w:num w:numId="13" w16cid:durableId="1898122668">
    <w:abstractNumId w:val="34"/>
  </w:num>
  <w:num w:numId="14" w16cid:durableId="522207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4285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21006">
    <w:abstractNumId w:val="21"/>
  </w:num>
  <w:num w:numId="17" w16cid:durableId="704406590">
    <w:abstractNumId w:val="7"/>
  </w:num>
  <w:num w:numId="18" w16cid:durableId="800073067">
    <w:abstractNumId w:val="8"/>
  </w:num>
  <w:num w:numId="19" w16cid:durableId="2095934781">
    <w:abstractNumId w:val="27"/>
  </w:num>
  <w:num w:numId="20" w16cid:durableId="1202746171">
    <w:abstractNumId w:val="37"/>
  </w:num>
  <w:num w:numId="21" w16cid:durableId="116875126">
    <w:abstractNumId w:val="10"/>
    <w:lvlOverride w:ilvl="0">
      <w:startOverride w:val="1"/>
    </w:lvlOverride>
  </w:num>
  <w:num w:numId="22" w16cid:durableId="1801267345">
    <w:abstractNumId w:val="31"/>
  </w:num>
  <w:num w:numId="23" w16cid:durableId="1226646343">
    <w:abstractNumId w:val="4"/>
  </w:num>
  <w:num w:numId="24" w16cid:durableId="1300182018">
    <w:abstractNumId w:val="17"/>
  </w:num>
  <w:num w:numId="25" w16cid:durableId="1774671802">
    <w:abstractNumId w:val="13"/>
  </w:num>
  <w:num w:numId="26" w16cid:durableId="1402826068">
    <w:abstractNumId w:val="30"/>
  </w:num>
  <w:num w:numId="27" w16cid:durableId="273250134">
    <w:abstractNumId w:val="23"/>
  </w:num>
  <w:num w:numId="28" w16cid:durableId="1669821270">
    <w:abstractNumId w:val="22"/>
    <w:lvlOverride w:ilvl="0">
      <w:startOverride w:val="1"/>
    </w:lvlOverride>
  </w:num>
  <w:num w:numId="29" w16cid:durableId="1527980131">
    <w:abstractNumId w:val="12"/>
  </w:num>
  <w:num w:numId="30" w16cid:durableId="1076703500">
    <w:abstractNumId w:val="0"/>
  </w:num>
  <w:num w:numId="31" w16cid:durableId="932014863">
    <w:abstractNumId w:val="19"/>
  </w:num>
  <w:num w:numId="32" w16cid:durableId="625820990">
    <w:abstractNumId w:val="25"/>
  </w:num>
  <w:num w:numId="33" w16cid:durableId="355152938">
    <w:abstractNumId w:val="32"/>
  </w:num>
  <w:num w:numId="34" w16cid:durableId="1508060217">
    <w:abstractNumId w:val="24"/>
  </w:num>
  <w:num w:numId="35" w16cid:durableId="1446921328">
    <w:abstractNumId w:val="11"/>
  </w:num>
  <w:num w:numId="36" w16cid:durableId="1094787119">
    <w:abstractNumId w:val="26"/>
  </w:num>
  <w:num w:numId="37" w16cid:durableId="1115783146">
    <w:abstractNumId w:val="2"/>
  </w:num>
  <w:num w:numId="38" w16cid:durableId="2080712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2F59"/>
    <w:rsid w:val="000462E5"/>
    <w:rsid w:val="00047C78"/>
    <w:rsid w:val="00056E28"/>
    <w:rsid w:val="00057BF8"/>
    <w:rsid w:val="000631D2"/>
    <w:rsid w:val="00063478"/>
    <w:rsid w:val="000946C3"/>
    <w:rsid w:val="00096566"/>
    <w:rsid w:val="000A16E4"/>
    <w:rsid w:val="000A198C"/>
    <w:rsid w:val="000A2061"/>
    <w:rsid w:val="000B7804"/>
    <w:rsid w:val="000C3359"/>
    <w:rsid w:val="000C6A8D"/>
    <w:rsid w:val="000C71CC"/>
    <w:rsid w:val="000D37F2"/>
    <w:rsid w:val="00111A21"/>
    <w:rsid w:val="00113222"/>
    <w:rsid w:val="00115CE1"/>
    <w:rsid w:val="00121815"/>
    <w:rsid w:val="00130329"/>
    <w:rsid w:val="00137118"/>
    <w:rsid w:val="00152412"/>
    <w:rsid w:val="001552D2"/>
    <w:rsid w:val="00165CEA"/>
    <w:rsid w:val="00171760"/>
    <w:rsid w:val="00171F64"/>
    <w:rsid w:val="001819A6"/>
    <w:rsid w:val="001A1ECE"/>
    <w:rsid w:val="001B5C2F"/>
    <w:rsid w:val="001E0CC6"/>
    <w:rsid w:val="001E30F3"/>
    <w:rsid w:val="002043DD"/>
    <w:rsid w:val="00235F51"/>
    <w:rsid w:val="00246F7B"/>
    <w:rsid w:val="00247AE7"/>
    <w:rsid w:val="00265407"/>
    <w:rsid w:val="00276A48"/>
    <w:rsid w:val="0029050E"/>
    <w:rsid w:val="002A2A92"/>
    <w:rsid w:val="002C3D20"/>
    <w:rsid w:val="002C6D4D"/>
    <w:rsid w:val="002D1D08"/>
    <w:rsid w:val="002D4DFA"/>
    <w:rsid w:val="002E7044"/>
    <w:rsid w:val="00311A40"/>
    <w:rsid w:val="00321231"/>
    <w:rsid w:val="003266AB"/>
    <w:rsid w:val="00351DF1"/>
    <w:rsid w:val="00365A3A"/>
    <w:rsid w:val="00365DCC"/>
    <w:rsid w:val="00375E95"/>
    <w:rsid w:val="0038033B"/>
    <w:rsid w:val="003B449A"/>
    <w:rsid w:val="003B6EE4"/>
    <w:rsid w:val="003C1DE3"/>
    <w:rsid w:val="003F0038"/>
    <w:rsid w:val="0041516E"/>
    <w:rsid w:val="00417258"/>
    <w:rsid w:val="00434BB6"/>
    <w:rsid w:val="0047068C"/>
    <w:rsid w:val="0047306A"/>
    <w:rsid w:val="00475A15"/>
    <w:rsid w:val="00491F5C"/>
    <w:rsid w:val="00492186"/>
    <w:rsid w:val="004A7CF4"/>
    <w:rsid w:val="004B5667"/>
    <w:rsid w:val="004C6357"/>
    <w:rsid w:val="004D3FEB"/>
    <w:rsid w:val="004D4B16"/>
    <w:rsid w:val="004D58DF"/>
    <w:rsid w:val="004D5A43"/>
    <w:rsid w:val="004F1465"/>
    <w:rsid w:val="00501D02"/>
    <w:rsid w:val="005135CD"/>
    <w:rsid w:val="005141E6"/>
    <w:rsid w:val="00522CE5"/>
    <w:rsid w:val="0053606C"/>
    <w:rsid w:val="0054350D"/>
    <w:rsid w:val="00543759"/>
    <w:rsid w:val="00572C6E"/>
    <w:rsid w:val="00573564"/>
    <w:rsid w:val="005A7F50"/>
    <w:rsid w:val="005C3947"/>
    <w:rsid w:val="005E2ECA"/>
    <w:rsid w:val="005E7A8D"/>
    <w:rsid w:val="005F731A"/>
    <w:rsid w:val="00601DA1"/>
    <w:rsid w:val="0061099D"/>
    <w:rsid w:val="0063632D"/>
    <w:rsid w:val="00636F47"/>
    <w:rsid w:val="00665E91"/>
    <w:rsid w:val="0067578C"/>
    <w:rsid w:val="006A03DE"/>
    <w:rsid w:val="006A0D3A"/>
    <w:rsid w:val="006B2401"/>
    <w:rsid w:val="006B6833"/>
    <w:rsid w:val="006C47E1"/>
    <w:rsid w:val="006C6503"/>
    <w:rsid w:val="006C676E"/>
    <w:rsid w:val="006C695D"/>
    <w:rsid w:val="006D7C14"/>
    <w:rsid w:val="006F0E48"/>
    <w:rsid w:val="006F291E"/>
    <w:rsid w:val="006F6BE6"/>
    <w:rsid w:val="00712A94"/>
    <w:rsid w:val="00720DDA"/>
    <w:rsid w:val="00730857"/>
    <w:rsid w:val="007314F6"/>
    <w:rsid w:val="00742139"/>
    <w:rsid w:val="00753825"/>
    <w:rsid w:val="0079224F"/>
    <w:rsid w:val="007A62BF"/>
    <w:rsid w:val="007A66E0"/>
    <w:rsid w:val="007C7E6C"/>
    <w:rsid w:val="007E15B7"/>
    <w:rsid w:val="007F0490"/>
    <w:rsid w:val="007F2880"/>
    <w:rsid w:val="00834B40"/>
    <w:rsid w:val="00843453"/>
    <w:rsid w:val="00843881"/>
    <w:rsid w:val="008703EE"/>
    <w:rsid w:val="008809AA"/>
    <w:rsid w:val="00884208"/>
    <w:rsid w:val="008858EB"/>
    <w:rsid w:val="008A0E79"/>
    <w:rsid w:val="008A7F08"/>
    <w:rsid w:val="008B5A97"/>
    <w:rsid w:val="008B6EB2"/>
    <w:rsid w:val="008C0B5B"/>
    <w:rsid w:val="008D60B6"/>
    <w:rsid w:val="008E570A"/>
    <w:rsid w:val="008F5A36"/>
    <w:rsid w:val="00901B89"/>
    <w:rsid w:val="009265A6"/>
    <w:rsid w:val="009541CE"/>
    <w:rsid w:val="009759D0"/>
    <w:rsid w:val="00983012"/>
    <w:rsid w:val="00986814"/>
    <w:rsid w:val="009920CC"/>
    <w:rsid w:val="009A6E82"/>
    <w:rsid w:val="009B25A1"/>
    <w:rsid w:val="009C6783"/>
    <w:rsid w:val="009C72B7"/>
    <w:rsid w:val="009D1838"/>
    <w:rsid w:val="009F1907"/>
    <w:rsid w:val="00A35F44"/>
    <w:rsid w:val="00A85482"/>
    <w:rsid w:val="00A87399"/>
    <w:rsid w:val="00A9706A"/>
    <w:rsid w:val="00AA1299"/>
    <w:rsid w:val="00AA3298"/>
    <w:rsid w:val="00AB3547"/>
    <w:rsid w:val="00AB7C24"/>
    <w:rsid w:val="00AE2CC2"/>
    <w:rsid w:val="00AE663A"/>
    <w:rsid w:val="00B07A08"/>
    <w:rsid w:val="00B13EF3"/>
    <w:rsid w:val="00B14362"/>
    <w:rsid w:val="00B261AF"/>
    <w:rsid w:val="00B302A2"/>
    <w:rsid w:val="00B35FDF"/>
    <w:rsid w:val="00B4733E"/>
    <w:rsid w:val="00B53518"/>
    <w:rsid w:val="00B73FBF"/>
    <w:rsid w:val="00B804BE"/>
    <w:rsid w:val="00B87104"/>
    <w:rsid w:val="00B901CF"/>
    <w:rsid w:val="00B93DAF"/>
    <w:rsid w:val="00BA283E"/>
    <w:rsid w:val="00BA738B"/>
    <w:rsid w:val="00BB05D1"/>
    <w:rsid w:val="00BB4DE9"/>
    <w:rsid w:val="00BB639D"/>
    <w:rsid w:val="00BD22DE"/>
    <w:rsid w:val="00BE7453"/>
    <w:rsid w:val="00C01C93"/>
    <w:rsid w:val="00C02E4D"/>
    <w:rsid w:val="00C2286F"/>
    <w:rsid w:val="00C324FC"/>
    <w:rsid w:val="00C606BE"/>
    <w:rsid w:val="00C6460B"/>
    <w:rsid w:val="00C65BB2"/>
    <w:rsid w:val="00C66E28"/>
    <w:rsid w:val="00C84482"/>
    <w:rsid w:val="00C85F61"/>
    <w:rsid w:val="00C93E5C"/>
    <w:rsid w:val="00CC122C"/>
    <w:rsid w:val="00CD517E"/>
    <w:rsid w:val="00D04141"/>
    <w:rsid w:val="00D077A9"/>
    <w:rsid w:val="00D146C2"/>
    <w:rsid w:val="00D23B3B"/>
    <w:rsid w:val="00D32413"/>
    <w:rsid w:val="00D36E28"/>
    <w:rsid w:val="00D4019E"/>
    <w:rsid w:val="00D47D28"/>
    <w:rsid w:val="00D659D0"/>
    <w:rsid w:val="00D80D99"/>
    <w:rsid w:val="00D93956"/>
    <w:rsid w:val="00DA2F30"/>
    <w:rsid w:val="00DA77C1"/>
    <w:rsid w:val="00DB3212"/>
    <w:rsid w:val="00DB5C2F"/>
    <w:rsid w:val="00DD2A4A"/>
    <w:rsid w:val="00DE0174"/>
    <w:rsid w:val="00DE3B89"/>
    <w:rsid w:val="00E06E19"/>
    <w:rsid w:val="00E14184"/>
    <w:rsid w:val="00E14245"/>
    <w:rsid w:val="00E16658"/>
    <w:rsid w:val="00E617D0"/>
    <w:rsid w:val="00E71D80"/>
    <w:rsid w:val="00E80A33"/>
    <w:rsid w:val="00EA6685"/>
    <w:rsid w:val="00EC2205"/>
    <w:rsid w:val="00ED0684"/>
    <w:rsid w:val="00ED06A2"/>
    <w:rsid w:val="00ED24C5"/>
    <w:rsid w:val="00EF5D2B"/>
    <w:rsid w:val="00F1692B"/>
    <w:rsid w:val="00F175D8"/>
    <w:rsid w:val="00F223AF"/>
    <w:rsid w:val="00F234A1"/>
    <w:rsid w:val="00F311ED"/>
    <w:rsid w:val="00F40DFE"/>
    <w:rsid w:val="00F451A6"/>
    <w:rsid w:val="00F55245"/>
    <w:rsid w:val="00F64EB7"/>
    <w:rsid w:val="00F7295C"/>
    <w:rsid w:val="00FA08D8"/>
    <w:rsid w:val="00FA0EFE"/>
    <w:rsid w:val="00FB5ACA"/>
    <w:rsid w:val="0272EB9D"/>
    <w:rsid w:val="16B706B2"/>
    <w:rsid w:val="1704299A"/>
    <w:rsid w:val="1CC9DD8C"/>
    <w:rsid w:val="2504048F"/>
    <w:rsid w:val="2A782D7A"/>
    <w:rsid w:val="4CBC21A6"/>
    <w:rsid w:val="4D6DEB30"/>
    <w:rsid w:val="4F8EB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2245"/>
  <w15:docId w15:val="{0EC98641-7422-4476-B6A0-15E66AB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22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styleId="Poprawka">
    <w:name w:val="Revision"/>
    <w:hidden/>
    <w:uiPriority w:val="99"/>
    <w:semiHidden/>
    <w:rsid w:val="00C2286F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422E1-39F9-46DB-826D-892DC870527B}">
  <ds:schemaRefs>
    <ds:schemaRef ds:uri="http://schemas.microsoft.com/office/2006/documentManagement/types"/>
    <ds:schemaRef ds:uri="2a0aefbf-9941-4259-b3eb-4641d89eb140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8da6f11-bfa4-4d1e-b942-f6f49b62c8b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90BA6-F623-478C-9FF2-ABFF89939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E3E9C-B11C-4ACE-9B48-D044D09F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creator>Rusak Izabela</dc:creator>
  <cp:lastModifiedBy>Marek-Woźny Karolina</cp:lastModifiedBy>
  <cp:revision>2</cp:revision>
  <cp:lastPrinted>2021-07-01T10:19:00Z</cp:lastPrinted>
  <dcterms:created xsi:type="dcterms:W3CDTF">2023-11-07T09:20:00Z</dcterms:created>
  <dcterms:modified xsi:type="dcterms:W3CDTF">2023-11-07T09:20:00Z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