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F31F" w14:textId="6FD7EA19" w:rsidR="00BA1E4B" w:rsidRPr="0094402E" w:rsidRDefault="00BA1E4B" w:rsidP="008B05AC">
      <w:pPr>
        <w:spacing w:before="120" w:after="120" w:line="276" w:lineRule="auto"/>
        <w:jc w:val="both"/>
        <w:rPr>
          <w:b/>
        </w:rPr>
      </w:pPr>
      <w:r w:rsidRPr="0094402E">
        <w:rPr>
          <w:b/>
        </w:rPr>
        <w:t xml:space="preserve">Wytyczne dotyczące sposobu zasad przesyłania do Laboratorium BSL3 i Laboratorium Zakładu Wirusologii próbek do badania w podejrzeniu zakażenia wirusem wysoce niebezpiecznym takim jak </w:t>
      </w:r>
      <w:proofErr w:type="spellStart"/>
      <w:r w:rsidRPr="0094402E">
        <w:rPr>
          <w:b/>
        </w:rPr>
        <w:t>Hantawirus</w:t>
      </w:r>
      <w:proofErr w:type="spellEnd"/>
      <w:r w:rsidRPr="0094402E">
        <w:rPr>
          <w:b/>
        </w:rPr>
        <w:t xml:space="preserve"> czy </w:t>
      </w:r>
      <w:proofErr w:type="spellStart"/>
      <w:r w:rsidRPr="0094402E">
        <w:rPr>
          <w:b/>
        </w:rPr>
        <w:t>Ebolawirus</w:t>
      </w:r>
      <w:proofErr w:type="spellEnd"/>
      <w:r w:rsidRPr="0094402E">
        <w:rPr>
          <w:b/>
        </w:rPr>
        <w:t xml:space="preserve"> i </w:t>
      </w:r>
      <w:proofErr w:type="spellStart"/>
      <w:r w:rsidRPr="0094402E">
        <w:rPr>
          <w:b/>
        </w:rPr>
        <w:t>inn</w:t>
      </w:r>
      <w:proofErr w:type="spellEnd"/>
      <w:r w:rsidRPr="0094402E">
        <w:rPr>
          <w:b/>
        </w:rPr>
        <w:t xml:space="preserve">. </w:t>
      </w:r>
    </w:p>
    <w:p w14:paraId="4FBCCE00" w14:textId="36D16AEE" w:rsidR="00BA1E4B" w:rsidRPr="00BA1E4B" w:rsidRDefault="00BA1E4B" w:rsidP="00BA1E4B">
      <w:pPr>
        <w:pStyle w:val="Akapitzlist"/>
        <w:spacing w:before="120" w:after="120" w:line="276" w:lineRule="auto"/>
        <w:jc w:val="both"/>
        <w:rPr>
          <w:b/>
        </w:rPr>
      </w:pPr>
      <w:r>
        <w:rPr>
          <w:b/>
        </w:rPr>
        <w:t xml:space="preserve"> </w:t>
      </w:r>
    </w:p>
    <w:p w14:paraId="5AE82A11" w14:textId="74F051EF" w:rsidR="008B228F" w:rsidRPr="008B228F" w:rsidRDefault="00C77872" w:rsidP="008B228F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446EB5">
        <w:rPr>
          <w:bCs/>
        </w:rPr>
        <w:t>W przypadku</w:t>
      </w:r>
      <w:r w:rsidRPr="00C77872">
        <w:t xml:space="preserve"> </w:t>
      </w:r>
      <w:r>
        <w:t>podejrze</w:t>
      </w:r>
      <w:r w:rsidR="00BF0A5B">
        <w:t>nia</w:t>
      </w:r>
      <w:r>
        <w:t xml:space="preserve"> zakażeni</w:t>
      </w:r>
      <w:r w:rsidR="005A6C9F">
        <w:t>a</w:t>
      </w:r>
      <w:r>
        <w:t xml:space="preserve"> wirusem wysoce zakaźnym (</w:t>
      </w:r>
      <w:r w:rsidR="008B228F">
        <w:t>należącym do grupy zagrożeń 3 lub 4</w:t>
      </w:r>
      <w:r>
        <w:t xml:space="preserve">), takim jak </w:t>
      </w:r>
      <w:proofErr w:type="spellStart"/>
      <w:r>
        <w:t>hantawirus</w:t>
      </w:r>
      <w:proofErr w:type="spellEnd"/>
      <w:r>
        <w:t xml:space="preserve">, </w:t>
      </w:r>
      <w:proofErr w:type="spellStart"/>
      <w:r>
        <w:t>filowirus</w:t>
      </w:r>
      <w:proofErr w:type="spellEnd"/>
      <w:r>
        <w:t xml:space="preserve"> lub inn</w:t>
      </w:r>
      <w:r w:rsidR="006F3198">
        <w:t>y</w:t>
      </w:r>
      <w:r w:rsidR="002F3B15">
        <w:t>m,</w:t>
      </w:r>
      <w:r w:rsidR="003D1921">
        <w:t xml:space="preserve"> </w:t>
      </w:r>
      <w:r w:rsidR="00BF0A5B">
        <w:t>o zamiarze przekazania próbki do NIZP PZH-PIB</w:t>
      </w:r>
      <w:r w:rsidR="000C38A1">
        <w:t>, Zleceniodawca</w:t>
      </w:r>
      <w:r w:rsidR="008231CD">
        <w:t xml:space="preserve"> </w:t>
      </w:r>
      <w:r w:rsidR="00C95494">
        <w:t>powinien</w:t>
      </w:r>
      <w:r w:rsidR="00BF0A5B">
        <w:t xml:space="preserve"> powiadomi</w:t>
      </w:r>
      <w:r w:rsidR="008231CD">
        <w:t>ć</w:t>
      </w:r>
      <w:r w:rsidR="00BF0A5B">
        <w:t xml:space="preserve"> telefonicznie (</w:t>
      </w:r>
      <w:r w:rsidR="008B228F" w:rsidRPr="008B228F">
        <w:t>Sekretariat Zakładu Wirusologii: 22 54 21 230</w:t>
      </w:r>
      <w:r w:rsidR="00BF0A5B">
        <w:t xml:space="preserve">) lub mailowo (adres: </w:t>
      </w:r>
      <w:hyperlink r:id="rId8" w:history="1">
        <w:r w:rsidR="00BF0A5B" w:rsidRPr="009C58F5">
          <w:rPr>
            <w:rStyle w:val="Hipercze"/>
          </w:rPr>
          <w:t>wiruspzh@pzh.gov.pl</w:t>
        </w:r>
      </w:hyperlink>
      <w:r w:rsidR="00BF0A5B">
        <w:t>)</w:t>
      </w:r>
      <w:r w:rsidR="006F3198">
        <w:t>.</w:t>
      </w:r>
    </w:p>
    <w:p w14:paraId="4B08386B" w14:textId="2D8A3506" w:rsidR="001660D5" w:rsidRDefault="001660D5" w:rsidP="00E417A0">
      <w:pPr>
        <w:pStyle w:val="Tekstpodstawowy"/>
        <w:numPr>
          <w:ilvl w:val="0"/>
          <w:numId w:val="8"/>
        </w:numPr>
        <w:suppressAutoHyphens/>
        <w:spacing w:before="120" w:line="276" w:lineRule="auto"/>
        <w:ind w:hanging="436"/>
        <w:jc w:val="both"/>
      </w:pPr>
      <w:r>
        <w:t xml:space="preserve">Ponadto przed transportem materiału do badań </w:t>
      </w:r>
      <w:r w:rsidR="00887044">
        <w:t xml:space="preserve">należy </w:t>
      </w:r>
      <w:r>
        <w:t xml:space="preserve">wysłać informację </w:t>
      </w:r>
      <w:r w:rsidR="00887044">
        <w:t xml:space="preserve">również </w:t>
      </w:r>
      <w:r>
        <w:t xml:space="preserve">na adres: </w:t>
      </w:r>
      <w:hyperlink r:id="rId9" w:history="1">
        <w:r w:rsidRPr="002C0256">
          <w:rPr>
            <w:rStyle w:val="Hipercze"/>
          </w:rPr>
          <w:t>gkobylinski@pzh.gov.pl</w:t>
        </w:r>
      </w:hyperlink>
      <w:r w:rsidR="00887044">
        <w:t>, a j</w:t>
      </w:r>
      <w:r>
        <w:t>eżeli próbk</w:t>
      </w:r>
      <w:r w:rsidR="003B7408">
        <w:t>a</w:t>
      </w:r>
      <w:r w:rsidR="00B608F8">
        <w:t>/próbki</w:t>
      </w:r>
      <w:r>
        <w:t xml:space="preserve"> miałyby być dostarczone po godzinie </w:t>
      </w:r>
      <w:r w:rsidRPr="00D74BF5">
        <w:rPr>
          <w:b/>
          <w:bCs/>
        </w:rPr>
        <w:t>13</w:t>
      </w:r>
      <w:r w:rsidR="00246805" w:rsidRPr="00D74BF5">
        <w:rPr>
          <w:b/>
          <w:bCs/>
        </w:rPr>
        <w:t>.00</w:t>
      </w:r>
      <w:r>
        <w:t xml:space="preserve"> informację </w:t>
      </w:r>
      <w:r w:rsidR="00887044">
        <w:t xml:space="preserve">należy wysłać </w:t>
      </w:r>
      <w:r>
        <w:t xml:space="preserve">na adres: </w:t>
      </w:r>
      <w:hyperlink r:id="rId10" w:history="1">
        <w:r w:rsidRPr="002C0256">
          <w:rPr>
            <w:rStyle w:val="Hipercze"/>
          </w:rPr>
          <w:t>kancelaria@pzh.gov.pl</w:t>
        </w:r>
      </w:hyperlink>
      <w:r>
        <w:t>.</w:t>
      </w:r>
    </w:p>
    <w:p w14:paraId="15694AD3" w14:textId="61330E39" w:rsidR="001660D5" w:rsidRDefault="001660D5" w:rsidP="00E417A0">
      <w:pPr>
        <w:pStyle w:val="Tekstpodstawowy"/>
        <w:numPr>
          <w:ilvl w:val="0"/>
          <w:numId w:val="8"/>
        </w:numPr>
        <w:suppressAutoHyphens/>
        <w:spacing w:before="120" w:line="276" w:lineRule="auto"/>
        <w:ind w:hanging="436"/>
        <w:jc w:val="both"/>
      </w:pPr>
      <w:r>
        <w:t>NIZP PZH-PIB pracuje od poniedziałku do piątku</w:t>
      </w:r>
      <w:r w:rsidR="00887044" w:rsidRPr="00887044">
        <w:t xml:space="preserve"> </w:t>
      </w:r>
      <w:r w:rsidR="00887044">
        <w:t xml:space="preserve">w godzinach od </w:t>
      </w:r>
      <w:r w:rsidR="00887044" w:rsidRPr="00D74BF5">
        <w:rPr>
          <w:b/>
          <w:bCs/>
        </w:rPr>
        <w:t>8</w:t>
      </w:r>
      <w:r w:rsidR="00822B6E" w:rsidRPr="00D74BF5">
        <w:rPr>
          <w:b/>
          <w:bCs/>
        </w:rPr>
        <w:t>.00</w:t>
      </w:r>
      <w:r w:rsidR="00887044" w:rsidRPr="00D74BF5">
        <w:rPr>
          <w:b/>
          <w:bCs/>
        </w:rPr>
        <w:t xml:space="preserve"> do 16</w:t>
      </w:r>
      <w:r w:rsidR="00822B6E" w:rsidRPr="00D74BF5">
        <w:rPr>
          <w:b/>
          <w:bCs/>
        </w:rPr>
        <w:t>.00</w:t>
      </w:r>
      <w:r w:rsidR="00822B6E">
        <w:t>, natomiast</w:t>
      </w:r>
      <w:r w:rsidR="00887044">
        <w:t xml:space="preserve"> </w:t>
      </w:r>
      <w:r>
        <w:t>P</w:t>
      </w:r>
      <w:r w:rsidR="008210E2">
        <w:t xml:space="preserve">unkt </w:t>
      </w:r>
      <w:r>
        <w:t>P</w:t>
      </w:r>
      <w:r w:rsidR="008210E2">
        <w:t xml:space="preserve">rzyjęć </w:t>
      </w:r>
      <w:r>
        <w:t>M</w:t>
      </w:r>
      <w:r w:rsidR="008210E2">
        <w:t>ateriałów</w:t>
      </w:r>
      <w:r>
        <w:t xml:space="preserve"> </w:t>
      </w:r>
      <w:r w:rsidR="00BA1E4B">
        <w:t xml:space="preserve">(PPM) </w:t>
      </w:r>
      <w:r>
        <w:t xml:space="preserve">czynny jest </w:t>
      </w:r>
      <w:r w:rsidR="00822B6E">
        <w:t xml:space="preserve">od poniedziałku do piątku </w:t>
      </w:r>
      <w:r w:rsidR="00887044">
        <w:t xml:space="preserve">w godzinach </w:t>
      </w:r>
      <w:r>
        <w:t xml:space="preserve">od </w:t>
      </w:r>
      <w:r w:rsidRPr="00D74BF5">
        <w:rPr>
          <w:b/>
          <w:bCs/>
        </w:rPr>
        <w:t>8.00 do 13.00</w:t>
      </w:r>
      <w:r>
        <w:t xml:space="preserve">. W godzinach </w:t>
      </w:r>
      <w:r w:rsidR="00822B6E">
        <w:t>pracy</w:t>
      </w:r>
      <w:r>
        <w:t xml:space="preserve"> PPM próbk</w:t>
      </w:r>
      <w:r w:rsidR="00822B6E">
        <w:t>ę/próbki</w:t>
      </w:r>
      <w:r>
        <w:t xml:space="preserve"> do badania w kierunku </w:t>
      </w:r>
      <w:proofErr w:type="spellStart"/>
      <w:r>
        <w:t>hantawirusów</w:t>
      </w:r>
      <w:proofErr w:type="spellEnd"/>
      <w:r>
        <w:t xml:space="preserve"> oraz </w:t>
      </w:r>
      <w:proofErr w:type="spellStart"/>
      <w:r>
        <w:t>filowirusów</w:t>
      </w:r>
      <w:proofErr w:type="spellEnd"/>
      <w:r>
        <w:t xml:space="preserve"> itp. </w:t>
      </w:r>
      <w:r w:rsidR="00822B6E">
        <w:t xml:space="preserve">należy </w:t>
      </w:r>
      <w:r>
        <w:t>przekazywa</w:t>
      </w:r>
      <w:r w:rsidR="00822B6E">
        <w:t>ć</w:t>
      </w:r>
      <w:r>
        <w:t xml:space="preserve"> do PPM. </w:t>
      </w:r>
    </w:p>
    <w:p w14:paraId="267C4632" w14:textId="5C6EAFC7" w:rsidR="00822B6E" w:rsidRPr="00BA1E4B" w:rsidRDefault="001660D5" w:rsidP="00E417A0">
      <w:pPr>
        <w:pStyle w:val="Tekstpodstawowy"/>
        <w:numPr>
          <w:ilvl w:val="0"/>
          <w:numId w:val="8"/>
        </w:numPr>
        <w:suppressAutoHyphens/>
        <w:spacing w:before="120" w:line="276" w:lineRule="auto"/>
        <w:ind w:hanging="436"/>
        <w:jc w:val="both"/>
        <w:rPr>
          <w:b/>
          <w:bCs/>
        </w:rPr>
      </w:pPr>
      <w:r>
        <w:t>Warunkiem przyjęcia próbki do badania w Laboratorium BSL-3 NIZP PZH-PIB jest wyraźne określenie, że jest to badanie</w:t>
      </w:r>
      <w:r w:rsidR="00822B6E">
        <w:t xml:space="preserve"> przeznaczone</w:t>
      </w:r>
      <w:r>
        <w:t xml:space="preserve"> do BSL-3 oraz podanie danych kontaktowych jednostki przesyłającej materiał</w:t>
      </w:r>
      <w:r w:rsidR="00822B6E">
        <w:t xml:space="preserve"> do badania. Dane powinny zawierać </w:t>
      </w:r>
      <w:r w:rsidRPr="00BA1E4B">
        <w:rPr>
          <w:b/>
          <w:bCs/>
        </w:rPr>
        <w:t xml:space="preserve">co najmniej imię </w:t>
      </w:r>
      <w:r w:rsidR="003D02DD">
        <w:rPr>
          <w:b/>
          <w:bCs/>
        </w:rPr>
        <w:br/>
      </w:r>
      <w:r w:rsidRPr="00BA1E4B">
        <w:rPr>
          <w:b/>
          <w:bCs/>
        </w:rPr>
        <w:t>i</w:t>
      </w:r>
      <w:r w:rsidR="003D02DD">
        <w:rPr>
          <w:b/>
          <w:bCs/>
        </w:rPr>
        <w:t> </w:t>
      </w:r>
      <w:r w:rsidRPr="00BA1E4B">
        <w:rPr>
          <w:b/>
          <w:bCs/>
        </w:rPr>
        <w:t>nazwisko lekarza</w:t>
      </w:r>
      <w:r w:rsidR="00215E90" w:rsidRPr="00BA1E4B">
        <w:rPr>
          <w:b/>
          <w:bCs/>
        </w:rPr>
        <w:t xml:space="preserve"> </w:t>
      </w:r>
      <w:r w:rsidR="00BA1E4B" w:rsidRPr="00BA1E4B">
        <w:rPr>
          <w:b/>
          <w:bCs/>
        </w:rPr>
        <w:t>wraz z numerem</w:t>
      </w:r>
      <w:r w:rsidR="00DE2FAB" w:rsidRPr="00BA1E4B">
        <w:rPr>
          <w:b/>
          <w:bCs/>
        </w:rPr>
        <w:t xml:space="preserve"> wykonywania zawodu</w:t>
      </w:r>
      <w:r w:rsidRPr="00BA1E4B">
        <w:rPr>
          <w:b/>
          <w:bCs/>
        </w:rPr>
        <w:t>, numer telefonu kontaktowego oraz bezpieczny adres mailowy</w:t>
      </w:r>
      <w:r w:rsidR="00822B6E" w:rsidRPr="00BA1E4B">
        <w:rPr>
          <w:b/>
          <w:bCs/>
        </w:rPr>
        <w:t>,</w:t>
      </w:r>
      <w:r>
        <w:t xml:space="preserve"> na jaki </w:t>
      </w:r>
      <w:r w:rsidR="00822B6E">
        <w:t xml:space="preserve">będzie </w:t>
      </w:r>
      <w:r>
        <w:t xml:space="preserve">wysłana informacja </w:t>
      </w:r>
      <w:r w:rsidR="003D02DD">
        <w:br/>
      </w:r>
      <w:r>
        <w:t>o</w:t>
      </w:r>
      <w:r w:rsidR="003D02DD">
        <w:t> </w:t>
      </w:r>
      <w:r>
        <w:t xml:space="preserve">dostępności wyniku </w:t>
      </w:r>
      <w:r w:rsidR="00822B6E">
        <w:t xml:space="preserve">badań </w:t>
      </w:r>
      <w:r>
        <w:t>w systemie e-Lab</w:t>
      </w:r>
      <w:r w:rsidR="00822B6E">
        <w:t xml:space="preserve">. </w:t>
      </w:r>
      <w:r w:rsidR="00BA1E4B" w:rsidRPr="00BA1E4B">
        <w:rPr>
          <w:b/>
          <w:bCs/>
        </w:rPr>
        <w:t>Brak tych danych może spowodować nie przyjęcie próbki do badania.</w:t>
      </w:r>
    </w:p>
    <w:p w14:paraId="19C48D15" w14:textId="25D774BB" w:rsidR="00822B6E" w:rsidRDefault="00822B6E" w:rsidP="00E417A0">
      <w:pPr>
        <w:pStyle w:val="Tekstpodstawowy"/>
        <w:numPr>
          <w:ilvl w:val="0"/>
          <w:numId w:val="8"/>
        </w:numPr>
        <w:suppressAutoHyphens/>
        <w:spacing w:before="120" w:line="276" w:lineRule="auto"/>
        <w:ind w:hanging="436"/>
        <w:jc w:val="both"/>
      </w:pPr>
      <w:r>
        <w:t xml:space="preserve">Bezwzględnie </w:t>
      </w:r>
      <w:r w:rsidR="006C4C39">
        <w:t xml:space="preserve">konieczne jest </w:t>
      </w:r>
      <w:r w:rsidR="001660D5">
        <w:t xml:space="preserve">wypełnienie </w:t>
      </w:r>
      <w:r>
        <w:t xml:space="preserve">i dołączenie przez zleceniodawcę </w:t>
      </w:r>
      <w:r w:rsidR="001660D5">
        <w:t>wypełnionego formularza „Zlecenia badania” (</w:t>
      </w:r>
      <w:r w:rsidR="001660D5" w:rsidRPr="00E10198">
        <w:t>Formularz nr PO-02/F06</w:t>
      </w:r>
      <w:r w:rsidR="006C4C39">
        <w:t xml:space="preserve"> </w:t>
      </w:r>
      <w:r w:rsidR="004834EE">
        <w:t>dostępn</w:t>
      </w:r>
      <w:r w:rsidR="00EA1FB0">
        <w:t>y</w:t>
      </w:r>
      <w:r w:rsidR="006C4C39">
        <w:t xml:space="preserve"> na stronie internetowej</w:t>
      </w:r>
      <w:r w:rsidR="001660D5" w:rsidRPr="00E10198">
        <w:t xml:space="preserve"> </w:t>
      </w:r>
      <w:hyperlink r:id="rId11" w:history="1">
        <w:r w:rsidR="001660D5" w:rsidRPr="00550F54">
          <w:rPr>
            <w:rStyle w:val="Hipercze"/>
          </w:rPr>
          <w:t>https://www.pzh.gov.pl/wp-content/uploads/2025/06/zlecenie-badania-diagnostycznego.pdf</w:t>
        </w:r>
      </w:hyperlink>
      <w:r w:rsidR="001660D5">
        <w:t>)</w:t>
      </w:r>
      <w:r w:rsidR="006C4C39">
        <w:t>. Zlecenie powinno być umieszczone w kopercie</w:t>
      </w:r>
      <w:r w:rsidR="001660D5">
        <w:t xml:space="preserve"> </w:t>
      </w:r>
      <w:r w:rsidR="006C4C39">
        <w:t>i dołączone</w:t>
      </w:r>
      <w:r w:rsidR="001660D5">
        <w:t xml:space="preserve"> do </w:t>
      </w:r>
      <w:r w:rsidRPr="00BA1E4B">
        <w:rPr>
          <w:b/>
          <w:bCs/>
        </w:rPr>
        <w:t xml:space="preserve">zewnętrznego </w:t>
      </w:r>
      <w:r w:rsidR="001660D5" w:rsidRPr="00BA1E4B">
        <w:rPr>
          <w:b/>
          <w:bCs/>
        </w:rPr>
        <w:t>opakowania</w:t>
      </w:r>
      <w:r>
        <w:t>, w którym znajduje się</w:t>
      </w:r>
      <w:r w:rsidR="001660D5">
        <w:t xml:space="preserve"> próbk</w:t>
      </w:r>
      <w:r>
        <w:t>a</w:t>
      </w:r>
      <w:r w:rsidR="001660D5">
        <w:t xml:space="preserve">, tak aby </w:t>
      </w:r>
      <w:r w:rsidR="004521A0">
        <w:t xml:space="preserve">można było </w:t>
      </w:r>
      <w:r w:rsidR="001660D5">
        <w:t>stwierdzić kierunek badania bez konieczności otwierania przesyłki</w:t>
      </w:r>
      <w:r>
        <w:t xml:space="preserve"> i w dalszej kolejności</w:t>
      </w:r>
      <w:r w:rsidR="003D02DD">
        <w:t xml:space="preserve"> </w:t>
      </w:r>
      <w:r>
        <w:t xml:space="preserve">je </w:t>
      </w:r>
      <w:r w:rsidR="00077555">
        <w:t>zarejestrować</w:t>
      </w:r>
      <w:r w:rsidR="001660D5">
        <w:t xml:space="preserve">. </w:t>
      </w:r>
    </w:p>
    <w:p w14:paraId="22DC052C" w14:textId="77777777" w:rsidR="00AB72AC" w:rsidRDefault="00AB72AC" w:rsidP="00AB72AC">
      <w:pPr>
        <w:pStyle w:val="Tekstpodstawowy"/>
        <w:suppressAutoHyphens/>
        <w:spacing w:before="120" w:line="276" w:lineRule="auto"/>
        <w:ind w:left="709"/>
        <w:jc w:val="both"/>
        <w:rPr>
          <w:b/>
        </w:rPr>
      </w:pPr>
      <w:r w:rsidRPr="005133E5">
        <w:rPr>
          <w:b/>
        </w:rPr>
        <w:t>Uwag</w:t>
      </w:r>
      <w:r>
        <w:rPr>
          <w:b/>
        </w:rPr>
        <w:t>a:</w:t>
      </w:r>
    </w:p>
    <w:p w14:paraId="62704085" w14:textId="17E85EC1" w:rsidR="00AB72AC" w:rsidRDefault="00AB72AC" w:rsidP="00AB72AC">
      <w:pPr>
        <w:pStyle w:val="Tekstpodstawowy"/>
        <w:suppressAutoHyphens/>
        <w:spacing w:before="120" w:line="276" w:lineRule="auto"/>
        <w:ind w:left="709"/>
        <w:jc w:val="both"/>
      </w:pPr>
      <w:r w:rsidRPr="005133E5">
        <w:t>W przypadku dostarczenia do NIZP</w:t>
      </w:r>
      <w:r>
        <w:t xml:space="preserve"> </w:t>
      </w:r>
      <w:r w:rsidRPr="005133E5">
        <w:t>PZH</w:t>
      </w:r>
      <w:r>
        <w:t>-PIB</w:t>
      </w:r>
      <w:r w:rsidRPr="005133E5">
        <w:t xml:space="preserve"> próbki bez </w:t>
      </w:r>
      <w:r w:rsidR="00BA1E4B">
        <w:t xml:space="preserve">danych kontaktowych Zleceniodawcy i lekarza oraz czytelnie </w:t>
      </w:r>
      <w:r w:rsidRPr="005133E5">
        <w:t xml:space="preserve">wypełnionego </w:t>
      </w:r>
      <w:r>
        <w:t xml:space="preserve">formularza </w:t>
      </w:r>
      <w:r w:rsidRPr="005133E5">
        <w:t>„</w:t>
      </w:r>
      <w:r w:rsidRPr="007109DA">
        <w:t>Zlecenia badania</w:t>
      </w:r>
      <w:r w:rsidR="003D02DD" w:rsidRPr="005133E5">
        <w:t xml:space="preserve">”, </w:t>
      </w:r>
      <w:r w:rsidR="003D02DD" w:rsidRPr="00BA1E4B">
        <w:rPr>
          <w:b/>
          <w:bCs/>
        </w:rPr>
        <w:t>zostanie</w:t>
      </w:r>
      <w:r w:rsidRPr="00BA1E4B">
        <w:rPr>
          <w:b/>
          <w:bCs/>
        </w:rPr>
        <w:t xml:space="preserve"> </w:t>
      </w:r>
      <w:r w:rsidR="00656635">
        <w:rPr>
          <w:b/>
          <w:bCs/>
        </w:rPr>
        <w:t xml:space="preserve">ona odrzucona </w:t>
      </w:r>
      <w:r w:rsidRPr="00BA1E4B">
        <w:rPr>
          <w:b/>
          <w:bCs/>
        </w:rPr>
        <w:t>lub zostanie zniszczona bez wykonania badania</w:t>
      </w:r>
      <w:r w:rsidRPr="005133E5">
        <w:t>.</w:t>
      </w:r>
      <w:r>
        <w:t xml:space="preserve"> Zniszczenie materiału odbywa się zgodnie z obowiązującymi procedurami postępowania z odpadami medycznymi i biologicznymi.</w:t>
      </w:r>
    </w:p>
    <w:p w14:paraId="7A4651EE" w14:textId="44D95160" w:rsidR="001660D5" w:rsidRDefault="00C51128" w:rsidP="00C51128">
      <w:pPr>
        <w:pStyle w:val="Tekstpodstawowy"/>
        <w:suppressAutoHyphens/>
        <w:spacing w:before="120" w:line="276" w:lineRule="auto"/>
        <w:ind w:left="709"/>
        <w:jc w:val="both"/>
      </w:pPr>
      <w:r w:rsidRPr="00C51128">
        <w:rPr>
          <w:b/>
          <w:bCs/>
        </w:rPr>
        <w:t>Uwaga</w:t>
      </w:r>
      <w:r>
        <w:t xml:space="preserve">: </w:t>
      </w:r>
      <w:r w:rsidR="001660D5">
        <w:t xml:space="preserve">Materiał do badań </w:t>
      </w:r>
      <w:r>
        <w:t xml:space="preserve">w BSL-3 </w:t>
      </w:r>
      <w:r w:rsidR="001660D5">
        <w:t>rejestrowany jest jako Naukowe Specjalne Badanie Wirusologiczne (</w:t>
      </w:r>
      <w:r w:rsidR="001660D5" w:rsidRPr="002A0E09">
        <w:rPr>
          <w:b/>
          <w:bCs/>
        </w:rPr>
        <w:t>EW-I.33</w:t>
      </w:r>
      <w:r w:rsidR="001660D5">
        <w:t>)</w:t>
      </w:r>
      <w:r w:rsidR="009E7D1B">
        <w:t>;</w:t>
      </w:r>
    </w:p>
    <w:p w14:paraId="68080523" w14:textId="77777777" w:rsidR="00170BD0" w:rsidRDefault="00170BD0" w:rsidP="00C51128">
      <w:pPr>
        <w:pStyle w:val="Tekstpodstawowy"/>
        <w:suppressAutoHyphens/>
        <w:spacing w:before="120" w:line="276" w:lineRule="auto"/>
        <w:ind w:left="709"/>
        <w:jc w:val="both"/>
      </w:pPr>
    </w:p>
    <w:p w14:paraId="7719290C" w14:textId="77777777" w:rsidR="00170BD0" w:rsidRDefault="00170BD0" w:rsidP="00C51128">
      <w:pPr>
        <w:pStyle w:val="Tekstpodstawowy"/>
        <w:suppressAutoHyphens/>
        <w:spacing w:before="120" w:line="276" w:lineRule="auto"/>
        <w:ind w:left="709"/>
        <w:jc w:val="both"/>
      </w:pPr>
    </w:p>
    <w:p w14:paraId="69A30585" w14:textId="70A44ABB" w:rsidR="00005C17" w:rsidRPr="00F35916" w:rsidRDefault="00BA1E4B" w:rsidP="008B05AC">
      <w:pPr>
        <w:pStyle w:val="Tekstpodstawowy"/>
        <w:suppressAutoHyphens/>
        <w:spacing w:before="120" w:line="276" w:lineRule="auto"/>
        <w:jc w:val="both"/>
        <w:rPr>
          <w:b/>
          <w:bCs/>
        </w:rPr>
      </w:pPr>
      <w:r w:rsidRPr="00F35916">
        <w:rPr>
          <w:b/>
          <w:bCs/>
        </w:rPr>
        <w:lastRenderedPageBreak/>
        <w:t>Materiał do badania w kierunku wirusów wysoce niebezpiecznych</w:t>
      </w:r>
    </w:p>
    <w:p w14:paraId="6848CB52" w14:textId="777EF781" w:rsidR="003F6D05" w:rsidRPr="00F35916" w:rsidRDefault="003F6D05" w:rsidP="003F6D05">
      <w:pPr>
        <w:tabs>
          <w:tab w:val="left" w:pos="567"/>
          <w:tab w:val="num" w:pos="851"/>
        </w:tabs>
        <w:spacing w:line="276" w:lineRule="auto"/>
        <w:jc w:val="both"/>
      </w:pPr>
      <w:r w:rsidRPr="00F35916">
        <w:t xml:space="preserve">Krew: Próbkę należy dostarczyć do laboratorium jak najszybciej  po pobraniu, transportując ją w warunkach uniemożliwiających </w:t>
      </w:r>
      <w:r w:rsidR="0094402E" w:rsidRPr="00F35916">
        <w:t>hemolizę</w:t>
      </w:r>
      <w:r w:rsidRPr="00F35916">
        <w:t xml:space="preserve"> próbki (nie wolno zamrażać, najlepiej warunki od 2ºC do 8ºC)</w:t>
      </w:r>
    </w:p>
    <w:p w14:paraId="31618796" w14:textId="266EF96C" w:rsidR="00BA1E4B" w:rsidRPr="00F35916" w:rsidRDefault="00BA1E4B" w:rsidP="00BA1E4B">
      <w:pPr>
        <w:numPr>
          <w:ilvl w:val="0"/>
          <w:numId w:val="26"/>
        </w:numPr>
        <w:tabs>
          <w:tab w:val="left" w:pos="851"/>
        </w:tabs>
        <w:spacing w:line="276" w:lineRule="auto"/>
        <w:jc w:val="both"/>
      </w:pPr>
      <w:r w:rsidRPr="00F35916">
        <w:rPr>
          <w:b/>
        </w:rPr>
        <w:t>Krew pobrana na antykoagulant</w:t>
      </w:r>
      <w:r w:rsidRPr="00F35916">
        <w:t xml:space="preserve"> – pełna krew w ilości około 3</w:t>
      </w:r>
      <w:r w:rsidR="003F6D05" w:rsidRPr="00F35916">
        <w:t xml:space="preserve">-5 </w:t>
      </w:r>
      <w:r w:rsidRPr="00F35916">
        <w:t xml:space="preserve">ml, pobrana na antykoagulant (najlepiej EDTA, nie należy używać heparyny). Próbki nie należy odwirowywać. Jeżeli próbka zostanie dostarczona do laboratorium w ciągu 24 godzin może być transportowana w temperaturze 21 </w:t>
      </w:r>
      <w:r w:rsidRPr="00F35916">
        <w:sym w:font="Symbol" w:char="F0B1"/>
      </w:r>
      <w:r w:rsidRPr="00F35916">
        <w:t xml:space="preserve"> 4</w:t>
      </w:r>
      <w:r w:rsidRPr="00F35916">
        <w:rPr>
          <w:vertAlign w:val="superscript"/>
        </w:rPr>
        <w:t>o</w:t>
      </w:r>
      <w:r w:rsidRPr="00F35916">
        <w:t xml:space="preserve">C. Przy dłuższym </w:t>
      </w:r>
      <w:r w:rsidR="00FF3831" w:rsidRPr="00F35916">
        <w:t>okresie</w:t>
      </w:r>
      <w:r w:rsidRPr="00F35916">
        <w:t xml:space="preserve"> (maksymalnie do 5 dni) próbkę krwi zaleca się przechowywać i transportować w temperaturze 5 </w:t>
      </w:r>
      <w:r w:rsidRPr="00F35916">
        <w:sym w:font="Symbol" w:char="F0B1"/>
      </w:r>
      <w:r w:rsidRPr="00F35916">
        <w:t xml:space="preserve"> 3</w:t>
      </w:r>
      <w:r w:rsidRPr="00F35916">
        <w:rPr>
          <w:vertAlign w:val="superscript"/>
        </w:rPr>
        <w:t>o</w:t>
      </w:r>
      <w:r w:rsidRPr="00F35916">
        <w:t>C.</w:t>
      </w:r>
    </w:p>
    <w:p w14:paraId="2076556A" w14:textId="48E25C13" w:rsidR="003F6D05" w:rsidRPr="00F35916" w:rsidRDefault="00BA1E4B" w:rsidP="003F6D05">
      <w:pPr>
        <w:numPr>
          <w:ilvl w:val="0"/>
          <w:numId w:val="26"/>
        </w:numPr>
        <w:tabs>
          <w:tab w:val="left" w:pos="567"/>
          <w:tab w:val="num" w:pos="851"/>
        </w:tabs>
        <w:spacing w:line="276" w:lineRule="auto"/>
        <w:jc w:val="both"/>
      </w:pPr>
      <w:r w:rsidRPr="00F35916">
        <w:rPr>
          <w:b/>
        </w:rPr>
        <w:t>Krew pełna</w:t>
      </w:r>
      <w:r w:rsidRPr="00F35916">
        <w:t xml:space="preserve"> w ilości około 5 ml; </w:t>
      </w:r>
      <w:r w:rsidRPr="00F35916">
        <w:rPr>
          <w:b/>
          <w:bCs/>
        </w:rPr>
        <w:t xml:space="preserve">pobrana jałowo "na skrzep" </w:t>
      </w:r>
      <w:r w:rsidRPr="00F35916">
        <w:t xml:space="preserve">w celu pozyskania surowicy. </w:t>
      </w:r>
      <w:r w:rsidR="003F6D05" w:rsidRPr="00F35916">
        <w:t xml:space="preserve">Próbki nie należy odwirowywać. Jeżeli próbka zostanie dostarczona do laboratorium w ciągu 24 godzin może być transportowana w temperaturze 21 </w:t>
      </w:r>
      <w:r w:rsidR="003F6D05" w:rsidRPr="00F35916">
        <w:sym w:font="Symbol" w:char="F0B1"/>
      </w:r>
      <w:r w:rsidR="003F6D05" w:rsidRPr="00F35916">
        <w:t xml:space="preserve"> 4</w:t>
      </w:r>
      <w:r w:rsidR="003F6D05" w:rsidRPr="00F35916">
        <w:rPr>
          <w:vertAlign w:val="superscript"/>
        </w:rPr>
        <w:t>o</w:t>
      </w:r>
      <w:r w:rsidR="003F6D05" w:rsidRPr="00F35916">
        <w:t xml:space="preserve">C. Przy dłuższym </w:t>
      </w:r>
      <w:r w:rsidR="00DE75E1" w:rsidRPr="00F35916">
        <w:t>okresie</w:t>
      </w:r>
      <w:r w:rsidR="003F6D05" w:rsidRPr="00F35916">
        <w:t xml:space="preserve"> (maksymalnie do 5 dni) próbkę krwi zaleca się przechowywać i transportować w temperaturze 5 </w:t>
      </w:r>
      <w:r w:rsidR="003F6D05" w:rsidRPr="00F35916">
        <w:sym w:font="Symbol" w:char="F0B1"/>
      </w:r>
      <w:r w:rsidR="003F6D05" w:rsidRPr="00F35916">
        <w:t xml:space="preserve"> 3</w:t>
      </w:r>
      <w:r w:rsidR="003F6D05" w:rsidRPr="00F35916">
        <w:rPr>
          <w:vertAlign w:val="superscript"/>
        </w:rPr>
        <w:t>o</w:t>
      </w:r>
      <w:r w:rsidR="003F6D05" w:rsidRPr="00F35916">
        <w:t>C.</w:t>
      </w:r>
    </w:p>
    <w:p w14:paraId="5AE27F20" w14:textId="65CDD13A" w:rsidR="00005C17" w:rsidRDefault="003F6D05" w:rsidP="003F6D05">
      <w:pPr>
        <w:pStyle w:val="Tekstpodstawowy"/>
        <w:suppressAutoHyphens/>
        <w:spacing w:before="120" w:line="276" w:lineRule="auto"/>
        <w:jc w:val="both"/>
      </w:pPr>
      <w:r>
        <w:t>Inne materiały – zawsze po wcześniejszym uzgodnieniu z Laboratorium BSL3</w:t>
      </w:r>
    </w:p>
    <w:p w14:paraId="594ADDC1" w14:textId="16EE815A" w:rsidR="001F17E1" w:rsidRPr="0094402E" w:rsidRDefault="003F6D05" w:rsidP="008B05AC">
      <w:pPr>
        <w:pStyle w:val="Tekstpodstawowy"/>
        <w:suppressAutoHyphens/>
        <w:spacing w:before="120" w:line="276" w:lineRule="auto"/>
        <w:jc w:val="both"/>
        <w:rPr>
          <w:b/>
          <w:bCs/>
        </w:rPr>
      </w:pPr>
      <w:r w:rsidRPr="0094402E">
        <w:rPr>
          <w:b/>
          <w:bCs/>
        </w:rPr>
        <w:t xml:space="preserve">Zasady pakowania </w:t>
      </w:r>
      <w:r w:rsidR="0094402E">
        <w:rPr>
          <w:b/>
          <w:bCs/>
        </w:rPr>
        <w:t>i transportu</w:t>
      </w:r>
    </w:p>
    <w:p w14:paraId="70EB89E0" w14:textId="58CF9863" w:rsidR="008B228F" w:rsidRDefault="008B228F" w:rsidP="008B05AC">
      <w:pPr>
        <w:pStyle w:val="Tekstpodstawowy"/>
        <w:suppressAutoHyphens/>
        <w:spacing w:before="120" w:line="276" w:lineRule="auto"/>
        <w:jc w:val="both"/>
      </w:pPr>
      <w:r w:rsidRPr="008B228F">
        <w:t xml:space="preserve">Przed przygotowaniem przesyłki należy ustalić jej klasyfikację transportową według ADR. Materiały zakaźne spełniające kryteria kategorii A klasyfikuje się jako </w:t>
      </w:r>
      <w:r w:rsidRPr="008B228F">
        <w:rPr>
          <w:b/>
          <w:bCs/>
        </w:rPr>
        <w:t>UN 2814</w:t>
      </w:r>
      <w:r w:rsidRPr="008B228F">
        <w:t xml:space="preserve"> „MATERIAŁ ZAKAŹNY DLA LUDZI” i pakuje zgodnie z </w:t>
      </w:r>
      <w:r w:rsidRPr="008B228F">
        <w:rPr>
          <w:b/>
          <w:bCs/>
        </w:rPr>
        <w:t>instrukcją P620</w:t>
      </w:r>
      <w:r w:rsidRPr="008B228F">
        <w:t xml:space="preserve">. Materiały zakaźne, które nie spełniają kryteriów kategorii A, klasyfikuje się jako </w:t>
      </w:r>
      <w:r w:rsidRPr="008B228F">
        <w:rPr>
          <w:b/>
          <w:bCs/>
        </w:rPr>
        <w:t>UN 3373</w:t>
      </w:r>
      <w:r w:rsidRPr="008B228F">
        <w:t xml:space="preserve"> „MATERIAŁ BIOLOGICZNY, KATEGORIA B” i pakuje zgodnie z </w:t>
      </w:r>
      <w:r w:rsidRPr="008B228F">
        <w:rPr>
          <w:b/>
          <w:bCs/>
        </w:rPr>
        <w:t>instrukcją P650</w:t>
      </w:r>
      <w:r w:rsidRPr="008B228F">
        <w:t xml:space="preserve">. </w:t>
      </w:r>
      <w:r w:rsidRPr="00F35916">
        <w:rPr>
          <w:u w:val="single"/>
        </w:rPr>
        <w:t>Sama przynależność czynnika biologicznego do grupy zagrożenia 3 lub 4 nie przesądza o kategorii A lub B w transporcie.</w:t>
      </w:r>
      <w:r>
        <w:t xml:space="preserve"> W załączniku </w:t>
      </w:r>
      <w:r w:rsidR="00475564">
        <w:t xml:space="preserve">nr 1 </w:t>
      </w:r>
      <w:r>
        <w:t>podana jest tabela klasyfikująca wirusy badane w NIZP</w:t>
      </w:r>
      <w:r w:rsidR="00121B7D">
        <w:t xml:space="preserve"> </w:t>
      </w:r>
      <w:r>
        <w:t>PZH</w:t>
      </w:r>
      <w:r w:rsidR="00292AA0">
        <w:t>-</w:t>
      </w:r>
      <w:r w:rsidR="00121B7D">
        <w:t>PIB</w:t>
      </w:r>
      <w:r>
        <w:t xml:space="preserve"> do stosownych grup i kategorii.</w:t>
      </w:r>
      <w:r w:rsidR="00475564">
        <w:t xml:space="preserve"> W załączniku nr 2 graficzne przedstawienie schematów pakowania według ADR.</w:t>
      </w:r>
    </w:p>
    <w:p w14:paraId="79A616A2" w14:textId="00B3ED72" w:rsidR="008B228F" w:rsidRPr="003F6D05" w:rsidRDefault="008B228F" w:rsidP="008B05AC">
      <w:pPr>
        <w:pStyle w:val="Tekstpodstawowy"/>
        <w:suppressAutoHyphens/>
        <w:spacing w:before="120" w:line="276" w:lineRule="auto"/>
        <w:jc w:val="both"/>
      </w:pPr>
      <w:r>
        <w:rPr>
          <w:b/>
        </w:rPr>
        <w:t>Kategoria A – UN 2814 / instrukcja pakowania P620:</w:t>
      </w:r>
    </w:p>
    <w:p w14:paraId="3C9249AE" w14:textId="09140181" w:rsidR="003F6D05" w:rsidRPr="003F6D05" w:rsidRDefault="003F6D05" w:rsidP="003F6D05">
      <w:pPr>
        <w:pStyle w:val="Tekstpodstawowy"/>
        <w:numPr>
          <w:ilvl w:val="0"/>
          <w:numId w:val="29"/>
        </w:numPr>
        <w:suppressAutoHyphens/>
        <w:spacing w:before="120" w:line="276" w:lineRule="auto"/>
        <w:jc w:val="both"/>
      </w:pPr>
      <w:r w:rsidRPr="003F6D05">
        <w:rPr>
          <w:b/>
          <w:bCs/>
        </w:rPr>
        <w:t>Opakowanie pierwotne:</w:t>
      </w:r>
      <w:r w:rsidRPr="003F6D05">
        <w:t xml:space="preserve"> Musi być </w:t>
      </w:r>
      <w:r w:rsidR="003156B7">
        <w:t xml:space="preserve">odporne na uszkodzenie, </w:t>
      </w:r>
      <w:r w:rsidRPr="003F6D05">
        <w:t>szczelne</w:t>
      </w:r>
      <w:r w:rsidR="00E53255">
        <w:t>, zamknięte i</w:t>
      </w:r>
      <w:r w:rsidR="003D02DD">
        <w:t> </w:t>
      </w:r>
      <w:r w:rsidR="00E53255">
        <w:t>zabezpieczone przed otwarciem</w:t>
      </w:r>
      <w:r w:rsidRPr="003F6D05">
        <w:t xml:space="preserve">. W przypadku płynów musi być owinięte materiałem chłonnym w ilości wystarczającej do wchłonięcia całej zawartości. </w:t>
      </w:r>
      <w:r w:rsidR="003156B7">
        <w:t>Szkło jest zabronione. Może to być probówka.</w:t>
      </w:r>
    </w:p>
    <w:p w14:paraId="5321684F" w14:textId="491E90FB" w:rsidR="003F6D05" w:rsidRPr="003F6D05" w:rsidRDefault="003F6D05" w:rsidP="003F6D05">
      <w:pPr>
        <w:pStyle w:val="Tekstpodstawowy"/>
        <w:numPr>
          <w:ilvl w:val="0"/>
          <w:numId w:val="29"/>
        </w:numPr>
        <w:suppressAutoHyphens/>
        <w:spacing w:before="120" w:line="276" w:lineRule="auto"/>
        <w:jc w:val="both"/>
      </w:pPr>
      <w:r w:rsidRPr="003F6D05">
        <w:rPr>
          <w:b/>
          <w:bCs/>
        </w:rPr>
        <w:t>Opakowanie wtórne:</w:t>
      </w:r>
      <w:r w:rsidRPr="003F6D05">
        <w:t xml:space="preserve"> </w:t>
      </w:r>
      <w:r w:rsidR="003156B7">
        <w:t xml:space="preserve">certyfikowane, szczelne, zakręcane, najlepiej z uszczelką, odporne na zgniecenie itp. </w:t>
      </w:r>
      <w:r w:rsidRPr="003F6D05">
        <w:t>Opakowanie pierwotne musi być w nim umieszczone w sposób zapewniający szczelność</w:t>
      </w:r>
      <w:r w:rsidR="003156B7">
        <w:t xml:space="preserve"> i bezpieczny transport</w:t>
      </w:r>
      <w:r w:rsidRPr="003F6D05">
        <w:t>.</w:t>
      </w:r>
      <w:r w:rsidR="003156B7">
        <w:t xml:space="preserve"> </w:t>
      </w:r>
    </w:p>
    <w:p w14:paraId="43AB7F35" w14:textId="5D16587D" w:rsidR="003F6D05" w:rsidRPr="003F6D05" w:rsidRDefault="003F6D05" w:rsidP="003F6D05">
      <w:pPr>
        <w:pStyle w:val="Tekstpodstawowy"/>
        <w:numPr>
          <w:ilvl w:val="0"/>
          <w:numId w:val="29"/>
        </w:numPr>
        <w:suppressAutoHyphens/>
        <w:spacing w:before="120" w:line="276" w:lineRule="auto"/>
        <w:jc w:val="both"/>
      </w:pPr>
      <w:r w:rsidRPr="003F6D05">
        <w:rPr>
          <w:b/>
          <w:bCs/>
        </w:rPr>
        <w:t>Opakowanie zewnętrzne:</w:t>
      </w:r>
      <w:r w:rsidRPr="003F6D05">
        <w:t xml:space="preserve"> </w:t>
      </w:r>
      <w:r w:rsidR="003156B7">
        <w:t xml:space="preserve">opakowanie zawierające odpowiednie oznakowania, </w:t>
      </w:r>
      <w:r w:rsidR="003156B7" w:rsidRPr="003F6D05">
        <w:t>o</w:t>
      </w:r>
      <w:r w:rsidR="003D02DD">
        <w:t> </w:t>
      </w:r>
      <w:r w:rsidR="003156B7" w:rsidRPr="003F6D05">
        <w:t>odpowiedniej wytrzymałości mechanicznej</w:t>
      </w:r>
      <w:r w:rsidR="003156B7">
        <w:t xml:space="preserve"> a także m</w:t>
      </w:r>
      <w:r w:rsidR="003156B7" w:rsidRPr="003F6D05">
        <w:t>inimalny</w:t>
      </w:r>
      <w:r w:rsidR="003156B7">
        <w:t>m</w:t>
      </w:r>
      <w:r w:rsidR="003156B7" w:rsidRPr="003F6D05">
        <w:t xml:space="preserve"> wymiar</w:t>
      </w:r>
      <w:r w:rsidR="003156B7">
        <w:t>ze</w:t>
      </w:r>
      <w:r w:rsidR="003156B7" w:rsidRPr="003F6D05">
        <w:t xml:space="preserve"> zewnętrzny</w:t>
      </w:r>
      <w:r w:rsidR="003156B7">
        <w:t>m</w:t>
      </w:r>
      <w:r w:rsidR="003156B7" w:rsidRPr="003F6D05">
        <w:t xml:space="preserve"> boku </w:t>
      </w:r>
      <w:r w:rsidR="003156B7">
        <w:t xml:space="preserve">- </w:t>
      </w:r>
      <w:r w:rsidR="003156B7" w:rsidRPr="003F6D05">
        <w:t xml:space="preserve">100 mm. </w:t>
      </w:r>
    </w:p>
    <w:p w14:paraId="253BEC4C" w14:textId="0A63638D" w:rsidR="003F6D05" w:rsidRPr="003F6D05" w:rsidRDefault="003F6D05" w:rsidP="003F6D05">
      <w:pPr>
        <w:pStyle w:val="Tekstpodstawowy"/>
        <w:numPr>
          <w:ilvl w:val="0"/>
          <w:numId w:val="29"/>
        </w:numPr>
        <w:suppressAutoHyphens/>
        <w:spacing w:before="120" w:line="276" w:lineRule="auto"/>
        <w:jc w:val="both"/>
      </w:pPr>
      <w:r w:rsidRPr="003F6D05">
        <w:rPr>
          <w:b/>
          <w:bCs/>
        </w:rPr>
        <w:t>Badania i certyfikacja:</w:t>
      </w:r>
      <w:r w:rsidRPr="003F6D05">
        <w:t xml:space="preserve"> Opakowania muszą posiadać odpowiednie oznaczenia UN</w:t>
      </w:r>
      <w:r w:rsidR="00F35916">
        <w:t xml:space="preserve"> </w:t>
      </w:r>
      <w:r w:rsidR="003156B7">
        <w:t>2814</w:t>
      </w:r>
    </w:p>
    <w:p w14:paraId="06E4E380" w14:textId="77777777" w:rsidR="003F6D05" w:rsidRPr="003F6D05" w:rsidRDefault="003F6D05" w:rsidP="003F6D05">
      <w:pPr>
        <w:pStyle w:val="Tekstpodstawowy"/>
        <w:numPr>
          <w:ilvl w:val="0"/>
          <w:numId w:val="29"/>
        </w:numPr>
        <w:suppressAutoHyphens/>
        <w:spacing w:before="120" w:line="276" w:lineRule="auto"/>
        <w:jc w:val="both"/>
      </w:pPr>
      <w:r w:rsidRPr="003F6D05">
        <w:rPr>
          <w:b/>
          <w:bCs/>
        </w:rPr>
        <w:t>Etykietowanie:</w:t>
      </w:r>
      <w:r w:rsidRPr="003F6D05">
        <w:t xml:space="preserve"> Opakowanie musi być trwale oznakowane numerem UN 2814 oraz nalepką ostrzegawczą wzoru nr 6.2 (czarny symbol trzech półksiężyców na białym lub kontrastowym tle). [</w:t>
      </w:r>
      <w:hyperlink r:id="rId12" w:history="1">
        <w:r w:rsidRPr="003F6D05">
          <w:rPr>
            <w:rStyle w:val="Hipercze"/>
          </w:rPr>
          <w:t>1</w:t>
        </w:r>
      </w:hyperlink>
      <w:r w:rsidRPr="003F6D05">
        <w:t xml:space="preserve">, </w:t>
      </w:r>
      <w:hyperlink r:id="rId13" w:history="1">
        <w:r w:rsidRPr="003F6D05">
          <w:rPr>
            <w:rStyle w:val="Hipercze"/>
          </w:rPr>
          <w:t>2</w:t>
        </w:r>
      </w:hyperlink>
      <w:r w:rsidRPr="003F6D05">
        <w:t>]</w:t>
      </w:r>
    </w:p>
    <w:p w14:paraId="15F84858" w14:textId="5841CAE5" w:rsidR="003F6D05" w:rsidRPr="003F6D05" w:rsidRDefault="003F6D05" w:rsidP="003F6D05">
      <w:pPr>
        <w:pStyle w:val="Tekstpodstawowy"/>
        <w:suppressAutoHyphens/>
        <w:spacing w:before="120" w:line="276" w:lineRule="auto"/>
        <w:ind w:left="709"/>
        <w:jc w:val="both"/>
      </w:pPr>
      <w:r w:rsidRPr="003F6D05">
        <w:rPr>
          <w:i/>
          <w:iCs/>
        </w:rPr>
        <w:lastRenderedPageBreak/>
        <w:t>Uwaga:</w:t>
      </w:r>
      <w:r w:rsidRPr="003F6D05">
        <w:t xml:space="preserve"> Substancje zakaźne UN 2814 są klasyfikowane do Kategorii A i ze względów bezpieczeństwa </w:t>
      </w:r>
      <w:r w:rsidRPr="003F6D05">
        <w:rPr>
          <w:b/>
          <w:bCs/>
        </w:rPr>
        <w:t>nie są przyjmowane do przewozu w publicznych przesyłkach pocztowych</w:t>
      </w:r>
      <w:r w:rsidRPr="003F6D05">
        <w:t xml:space="preserve">. </w:t>
      </w:r>
    </w:p>
    <w:p w14:paraId="70FC1D33" w14:textId="37B0FCBA" w:rsidR="003F6D05" w:rsidRPr="003F6D05" w:rsidRDefault="003F6D05" w:rsidP="003156B7">
      <w:pPr>
        <w:pStyle w:val="Tekstpodstawowy"/>
        <w:suppressAutoHyphens/>
        <w:spacing w:before="120" w:line="276" w:lineRule="auto"/>
        <w:ind w:left="709"/>
        <w:jc w:val="both"/>
      </w:pPr>
      <w:r w:rsidRPr="003F6D05">
        <w:t>Ponieważ transport tego typu ładunku wymaga specjalistycznych uprawnień, wszystkie wymogi dotyczące przewozu drogowego precyzyjnie określają</w:t>
      </w:r>
      <w:r w:rsidR="003156B7">
        <w:t xml:space="preserve"> przepisy ADR</w:t>
      </w:r>
      <w:r w:rsidRPr="003F6D05">
        <w:t xml:space="preserve"> [</w:t>
      </w:r>
      <w:r w:rsidR="00732D14" w:rsidRPr="00732D14">
        <w:rPr>
          <w:b/>
          <w:bCs/>
        </w:rPr>
        <w:t>Dz.U. 2025 poz. 642</w:t>
      </w:r>
      <w:r w:rsidR="00732D14">
        <w:rPr>
          <w:b/>
          <w:bCs/>
        </w:rPr>
        <w:t>]</w:t>
      </w:r>
    </w:p>
    <w:p w14:paraId="151A4DE9" w14:textId="4306E60F" w:rsidR="00F35916" w:rsidRPr="00F35916" w:rsidRDefault="00F35916" w:rsidP="00F35916">
      <w:pPr>
        <w:spacing w:before="120" w:after="120" w:line="276" w:lineRule="auto"/>
        <w:rPr>
          <w:rFonts w:ascii="Calibri" w:eastAsia="MS Mincho" w:hAnsi="Calibri" w:cs="Calibri"/>
          <w:i/>
          <w:iCs/>
          <w:sz w:val="18"/>
          <w:szCs w:val="22"/>
          <w:lang w:eastAsia="en-US"/>
        </w:rPr>
      </w:pPr>
      <w:r>
        <w:rPr>
          <w:rFonts w:ascii="Calibri" w:eastAsia="MS Mincho" w:hAnsi="Calibri" w:cs="Calibri"/>
          <w:i/>
          <w:iCs/>
          <w:sz w:val="18"/>
          <w:szCs w:val="22"/>
          <w:lang w:eastAsia="en-US"/>
        </w:rPr>
        <w:t>Opracowanie: Katarzyna Pancer, Agnieszka Trzcińska, Beata Rozbicka, Agata Wdowiak, 2026, NIZP PZH-PIB,</w:t>
      </w:r>
    </w:p>
    <w:p w14:paraId="65A5B823" w14:textId="186CE22B" w:rsidR="00F35916" w:rsidRDefault="00F35916">
      <w:pPr>
        <w:spacing w:after="160" w:line="278" w:lineRule="auto"/>
        <w:sectPr w:rsidR="00F35916" w:rsidSect="00170BD0">
          <w:headerReference w:type="default" r:id="rId14"/>
          <w:pgSz w:w="11906" w:h="16838"/>
          <w:pgMar w:top="1985" w:right="1134" w:bottom="1134" w:left="1134" w:header="567" w:footer="709" w:gutter="0"/>
          <w:cols w:space="708"/>
          <w:docGrid w:linePitch="360"/>
        </w:sectPr>
      </w:pPr>
    </w:p>
    <w:p w14:paraId="48DE79F6" w14:textId="5DB903E1" w:rsidR="00475564" w:rsidRPr="006F5E35" w:rsidRDefault="00475564" w:rsidP="00475564">
      <w:pPr>
        <w:spacing w:after="200" w:line="276" w:lineRule="auto"/>
        <w:jc w:val="right"/>
        <w:rPr>
          <w:rFonts w:eastAsia="MS Mincho"/>
          <w:bCs/>
          <w:sz w:val="20"/>
          <w:szCs w:val="14"/>
          <w:lang w:eastAsia="en-US"/>
        </w:rPr>
      </w:pPr>
      <w:r w:rsidRPr="006F5E35">
        <w:rPr>
          <w:rFonts w:eastAsia="MS Mincho"/>
          <w:bCs/>
          <w:sz w:val="20"/>
          <w:szCs w:val="14"/>
          <w:lang w:eastAsia="en-US"/>
        </w:rPr>
        <w:lastRenderedPageBreak/>
        <w:t>Załącznik nr 1</w:t>
      </w:r>
    </w:p>
    <w:p w14:paraId="5151AB3D" w14:textId="41DCA624" w:rsidR="00C62FCF" w:rsidRPr="004E3691" w:rsidRDefault="00C62FCF" w:rsidP="00C62FCF">
      <w:pPr>
        <w:spacing w:after="200" w:line="276" w:lineRule="auto"/>
        <w:jc w:val="center"/>
        <w:rPr>
          <w:rFonts w:eastAsia="MS Mincho"/>
          <w:lang w:eastAsia="en-US"/>
        </w:rPr>
      </w:pPr>
      <w:r w:rsidRPr="004E3691">
        <w:rPr>
          <w:rFonts w:eastAsia="MS Mincho"/>
          <w:b/>
          <w:lang w:eastAsia="en-US"/>
        </w:rPr>
        <w:t>Klasyfikacja wirusów i sposób pakowania próbek klinicznych do transportu</w:t>
      </w:r>
    </w:p>
    <w:p w14:paraId="45232312" w14:textId="77777777" w:rsidR="00C62FCF" w:rsidRPr="004E3691" w:rsidRDefault="00C62FCF" w:rsidP="00C62FCF">
      <w:pPr>
        <w:spacing w:after="200" w:line="276" w:lineRule="auto"/>
        <w:rPr>
          <w:rFonts w:eastAsia="MS Mincho"/>
          <w:lang w:eastAsia="en-US"/>
        </w:rPr>
      </w:pPr>
      <w:r w:rsidRPr="004E3691">
        <w:rPr>
          <w:rFonts w:eastAsia="MS Mincho"/>
          <w:b/>
          <w:lang w:eastAsia="en-US"/>
        </w:rPr>
        <w:t xml:space="preserve">Zestawienie dotyczy wyłącznie </w:t>
      </w:r>
      <w:r w:rsidRPr="004E3691">
        <w:rPr>
          <w:rFonts w:eastAsia="MS Mincho"/>
          <w:b/>
          <w:u w:val="single"/>
          <w:lang w:eastAsia="en-US"/>
        </w:rPr>
        <w:t>pierwotnych próbek klinicznych pobranych od pacjentów</w:t>
      </w:r>
      <w:r w:rsidRPr="004E3691">
        <w:rPr>
          <w:rFonts w:eastAsia="MS Mincho"/>
          <w:b/>
          <w:lang w:eastAsia="en-US"/>
        </w:rPr>
        <w:t xml:space="preserve"> (m.in. surowica, krew pełna, płyn mózgowo-rdzeniowy, mocz, wymazy), a nie hodowli wirusowych.</w:t>
      </w:r>
    </w:p>
    <w:p w14:paraId="70053032" w14:textId="3B6DF3A6" w:rsidR="00C62FCF" w:rsidRPr="004E3691" w:rsidRDefault="00C62FCF" w:rsidP="00C62FCF">
      <w:pPr>
        <w:spacing w:after="200" w:line="276" w:lineRule="auto"/>
        <w:rPr>
          <w:rFonts w:eastAsia="MS Mincho"/>
          <w:lang w:eastAsia="en-US"/>
        </w:rPr>
      </w:pPr>
      <w:r w:rsidRPr="004E3691">
        <w:rPr>
          <w:rFonts w:eastAsia="MS Mincho"/>
          <w:b/>
          <w:bCs/>
          <w:lang w:eastAsia="en-US"/>
        </w:rPr>
        <w:t>Uwaga!</w:t>
      </w:r>
      <w:r w:rsidRPr="004E3691">
        <w:rPr>
          <w:rFonts w:eastAsia="MS Mincho"/>
          <w:lang w:eastAsia="en-US"/>
        </w:rPr>
        <w:t xml:space="preserve"> Grupa zagrożenia biologicznego (1–4) i kategoria transportowa ADR (A/B) to dwa odrębne systemy klasyfikacji. Przynależność wirusa do grupy 3</w:t>
      </w:r>
      <w:r w:rsidR="004F4E22" w:rsidRPr="004E3691">
        <w:rPr>
          <w:rFonts w:eastAsia="MS Mincho"/>
          <w:lang w:eastAsia="en-US"/>
        </w:rPr>
        <w:t xml:space="preserve"> lub 4</w:t>
      </w:r>
      <w:r w:rsidRPr="004E3691">
        <w:rPr>
          <w:rFonts w:eastAsia="MS Mincho"/>
          <w:lang w:eastAsia="en-US"/>
        </w:rPr>
        <w:t xml:space="preserve"> nie oznacza automatycznie kategorii 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95"/>
        <w:gridCol w:w="1915"/>
        <w:gridCol w:w="1651"/>
        <w:gridCol w:w="1960"/>
        <w:gridCol w:w="3346"/>
      </w:tblGrid>
      <w:tr w:rsidR="00C62FCF" w:rsidRPr="00C62FCF" w14:paraId="28FED3CA" w14:textId="77777777" w:rsidTr="002C5F18">
        <w:trPr>
          <w:trHeight w:val="394"/>
          <w:tblHeader/>
          <w:jc w:val="center"/>
        </w:trPr>
        <w:tc>
          <w:tcPr>
            <w:tcW w:w="3895" w:type="dxa"/>
            <w:vAlign w:val="center"/>
          </w:tcPr>
          <w:p w14:paraId="1216D305" w14:textId="6F348C9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Wirus/</w:t>
            </w: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grupa</w:t>
            </w:r>
            <w:proofErr w:type="spellEnd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wirusów</w:t>
            </w:r>
            <w:proofErr w:type="spellEnd"/>
          </w:p>
        </w:tc>
        <w:tc>
          <w:tcPr>
            <w:tcW w:w="1915" w:type="dxa"/>
            <w:vAlign w:val="center"/>
          </w:tcPr>
          <w:p w14:paraId="10AA2D2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 xml:space="preserve">Grupa </w:t>
            </w: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zagrożenia</w:t>
            </w:r>
            <w:proofErr w:type="spellEnd"/>
          </w:p>
        </w:tc>
        <w:tc>
          <w:tcPr>
            <w:tcW w:w="1651" w:type="dxa"/>
            <w:vAlign w:val="center"/>
          </w:tcPr>
          <w:p w14:paraId="6B93E053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Kategoria</w:t>
            </w:r>
            <w:proofErr w:type="spellEnd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 xml:space="preserve"> ADR</w:t>
            </w:r>
          </w:p>
        </w:tc>
        <w:tc>
          <w:tcPr>
            <w:tcW w:w="1960" w:type="dxa"/>
            <w:vAlign w:val="center"/>
          </w:tcPr>
          <w:p w14:paraId="2311CD36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 xml:space="preserve">UN / </w:t>
            </w: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pakowanie</w:t>
            </w:r>
            <w:proofErr w:type="spellEnd"/>
          </w:p>
        </w:tc>
        <w:tc>
          <w:tcPr>
            <w:tcW w:w="3346" w:type="dxa"/>
            <w:vAlign w:val="center"/>
          </w:tcPr>
          <w:p w14:paraId="7CFA4A3C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b/>
                <w:sz w:val="24"/>
                <w:szCs w:val="24"/>
                <w:lang w:eastAsia="en-US"/>
              </w:rPr>
              <w:t>Uwagi</w:t>
            </w:r>
            <w:proofErr w:type="spellEnd"/>
          </w:p>
        </w:tc>
      </w:tr>
      <w:tr w:rsidR="00C62FCF" w:rsidRPr="00C62FCF" w14:paraId="44808F25" w14:textId="77777777" w:rsidTr="002C5F18">
        <w:trPr>
          <w:jc w:val="center"/>
        </w:trPr>
        <w:tc>
          <w:tcPr>
            <w:tcW w:w="3895" w:type="dxa"/>
            <w:vAlign w:val="center"/>
          </w:tcPr>
          <w:p w14:paraId="530FA6C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CMV (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cytomegalowirus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15" w:type="dxa"/>
            <w:vAlign w:val="center"/>
          </w:tcPr>
          <w:p w14:paraId="1A7D00B3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48908A8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6C200D8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24B4BB4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59497B7D" w14:textId="77777777" w:rsidTr="002C5F18">
        <w:trPr>
          <w:jc w:val="center"/>
        </w:trPr>
        <w:tc>
          <w:tcPr>
            <w:tcW w:w="3895" w:type="dxa"/>
            <w:vAlign w:val="center"/>
          </w:tcPr>
          <w:p w14:paraId="130052D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EBV (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Epsteina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>-Barr)</w:t>
            </w:r>
          </w:p>
        </w:tc>
        <w:tc>
          <w:tcPr>
            <w:tcW w:w="1915" w:type="dxa"/>
            <w:vAlign w:val="center"/>
          </w:tcPr>
          <w:p w14:paraId="0E75BD46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55EAD363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2CBC563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5043EF8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59BE4DDF" w14:textId="77777777" w:rsidTr="002C5F18">
        <w:trPr>
          <w:jc w:val="center"/>
        </w:trPr>
        <w:tc>
          <w:tcPr>
            <w:tcW w:w="3895" w:type="dxa"/>
            <w:vAlign w:val="center"/>
          </w:tcPr>
          <w:p w14:paraId="73135C0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HHV-6</w:t>
            </w:r>
          </w:p>
        </w:tc>
        <w:tc>
          <w:tcPr>
            <w:tcW w:w="1915" w:type="dxa"/>
            <w:vAlign w:val="center"/>
          </w:tcPr>
          <w:p w14:paraId="48BD53E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2249828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7921C0FF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1EF5E0D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702A3F01" w14:textId="77777777" w:rsidTr="002C5F18">
        <w:trPr>
          <w:jc w:val="center"/>
        </w:trPr>
        <w:tc>
          <w:tcPr>
            <w:tcW w:w="3895" w:type="dxa"/>
            <w:vAlign w:val="center"/>
          </w:tcPr>
          <w:p w14:paraId="74BE5AB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HHV-7</w:t>
            </w:r>
          </w:p>
        </w:tc>
        <w:tc>
          <w:tcPr>
            <w:tcW w:w="1915" w:type="dxa"/>
            <w:vAlign w:val="center"/>
          </w:tcPr>
          <w:p w14:paraId="45AA5414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32684F0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66AC3EC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78F1D2A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4AFB80DA" w14:textId="77777777" w:rsidTr="002C5F18">
        <w:trPr>
          <w:jc w:val="center"/>
        </w:trPr>
        <w:tc>
          <w:tcPr>
            <w:tcW w:w="3895" w:type="dxa"/>
            <w:vAlign w:val="center"/>
          </w:tcPr>
          <w:p w14:paraId="1FC0055F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HHV-8</w:t>
            </w:r>
          </w:p>
        </w:tc>
        <w:tc>
          <w:tcPr>
            <w:tcW w:w="1915" w:type="dxa"/>
            <w:vAlign w:val="center"/>
          </w:tcPr>
          <w:p w14:paraId="249AD8A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6376D2B7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607E91F7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72B2A89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624CBA74" w14:textId="77777777" w:rsidTr="002C5F18">
        <w:trPr>
          <w:jc w:val="center"/>
        </w:trPr>
        <w:tc>
          <w:tcPr>
            <w:tcW w:w="3895" w:type="dxa"/>
            <w:vAlign w:val="center"/>
          </w:tcPr>
          <w:p w14:paraId="2D8B01B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różyczki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RubV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15" w:type="dxa"/>
            <w:vAlign w:val="center"/>
          </w:tcPr>
          <w:p w14:paraId="48CE81A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354FF2C1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572093DA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17D505D0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55CEAEB1" w14:textId="77777777" w:rsidTr="002C5F18">
        <w:trPr>
          <w:jc w:val="center"/>
        </w:trPr>
        <w:tc>
          <w:tcPr>
            <w:tcW w:w="3895" w:type="dxa"/>
            <w:vAlign w:val="center"/>
          </w:tcPr>
          <w:p w14:paraId="3499CF54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odry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(MeV)</w:t>
            </w:r>
          </w:p>
        </w:tc>
        <w:tc>
          <w:tcPr>
            <w:tcW w:w="1915" w:type="dxa"/>
            <w:vAlign w:val="center"/>
          </w:tcPr>
          <w:p w14:paraId="0BB3A588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05E207FC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4B58FD27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2FF49A4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2FD27035" w14:textId="77777777" w:rsidTr="002C5F18">
        <w:trPr>
          <w:jc w:val="center"/>
        </w:trPr>
        <w:tc>
          <w:tcPr>
            <w:tcW w:w="3895" w:type="dxa"/>
            <w:vAlign w:val="center"/>
          </w:tcPr>
          <w:p w14:paraId="75109889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t>Wirus kleszczowego zapalenia mózgu (TBEV/KZM)</w:t>
            </w:r>
          </w:p>
        </w:tc>
        <w:tc>
          <w:tcPr>
            <w:tcW w:w="1915" w:type="dxa"/>
            <w:vAlign w:val="center"/>
          </w:tcPr>
          <w:p w14:paraId="18B8B09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005C3FC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6E081088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466F1DAE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  <w:tr w:rsidR="00C62FCF" w:rsidRPr="00C62FCF" w14:paraId="6446673F" w14:textId="77777777" w:rsidTr="002C5F18">
        <w:trPr>
          <w:jc w:val="center"/>
        </w:trPr>
        <w:tc>
          <w:tcPr>
            <w:tcW w:w="3895" w:type="dxa"/>
            <w:vAlign w:val="center"/>
          </w:tcPr>
          <w:p w14:paraId="37276C7C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HCV</w:t>
            </w:r>
          </w:p>
        </w:tc>
        <w:tc>
          <w:tcPr>
            <w:tcW w:w="1915" w:type="dxa"/>
            <w:vAlign w:val="center"/>
          </w:tcPr>
          <w:p w14:paraId="7E79929B" w14:textId="5325FC33" w:rsidR="00C62FCF" w:rsidRPr="004E3691" w:rsidRDefault="00DC0C20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18FA420A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53C44BAE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2C98281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0C9150C1" w14:textId="77777777" w:rsidTr="002C5F18">
        <w:trPr>
          <w:jc w:val="center"/>
        </w:trPr>
        <w:tc>
          <w:tcPr>
            <w:tcW w:w="3895" w:type="dxa"/>
            <w:vAlign w:val="center"/>
          </w:tcPr>
          <w:p w14:paraId="7BF3CFDF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Adenowirusy</w:t>
            </w:r>
            <w:proofErr w:type="spellEnd"/>
          </w:p>
        </w:tc>
        <w:tc>
          <w:tcPr>
            <w:tcW w:w="1915" w:type="dxa"/>
            <w:vAlign w:val="center"/>
          </w:tcPr>
          <w:p w14:paraId="537AA51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231CE9D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27434EDF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5C358738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</w:p>
        </w:tc>
      </w:tr>
      <w:tr w:rsidR="00C62FCF" w:rsidRPr="00C62FCF" w14:paraId="685A9753" w14:textId="77777777" w:rsidTr="002C5F18">
        <w:trPr>
          <w:jc w:val="center"/>
        </w:trPr>
        <w:tc>
          <w:tcPr>
            <w:tcW w:w="3895" w:type="dxa"/>
            <w:vAlign w:val="center"/>
          </w:tcPr>
          <w:p w14:paraId="3DD3B4AF" w14:textId="3EA5F398" w:rsidR="00C62FCF" w:rsidRPr="004E3691" w:rsidRDefault="004F4E22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r w:rsidR="00C62FCF" w:rsidRPr="004E3691">
              <w:rPr>
                <w:rFonts w:eastAsia="MS Mincho"/>
                <w:sz w:val="24"/>
                <w:szCs w:val="24"/>
                <w:lang w:eastAsia="en-US"/>
              </w:rPr>
              <w:t>Ebola</w:t>
            </w:r>
            <w:r w:rsidRPr="004E3691">
              <w:rPr>
                <w:rFonts w:eastAsia="MS Mincho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915" w:type="dxa"/>
            <w:vAlign w:val="center"/>
          </w:tcPr>
          <w:p w14:paraId="7DC77CB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1" w:type="dxa"/>
            <w:vAlign w:val="center"/>
          </w:tcPr>
          <w:p w14:paraId="690905FF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1960" w:type="dxa"/>
          </w:tcPr>
          <w:p w14:paraId="1A37EF6A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UN 2814 / P620</w:t>
            </w:r>
          </w:p>
        </w:tc>
        <w:tc>
          <w:tcPr>
            <w:tcW w:w="3346" w:type="dxa"/>
            <w:vAlign w:val="center"/>
          </w:tcPr>
          <w:p w14:paraId="6EE87EEF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hodowle</w:t>
            </w:r>
            <w:proofErr w:type="spellEnd"/>
          </w:p>
        </w:tc>
      </w:tr>
      <w:tr w:rsidR="00C62FCF" w:rsidRPr="00C62FCF" w14:paraId="3D5C1BAD" w14:textId="77777777" w:rsidTr="002C5F18">
        <w:trPr>
          <w:jc w:val="center"/>
        </w:trPr>
        <w:tc>
          <w:tcPr>
            <w:tcW w:w="3895" w:type="dxa"/>
            <w:vAlign w:val="center"/>
          </w:tcPr>
          <w:p w14:paraId="766C38C5" w14:textId="322FDEDB" w:rsidR="00C62FCF" w:rsidRPr="004E3691" w:rsidRDefault="004F4E22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r w:rsidR="00C62FCF" w:rsidRPr="004E3691">
              <w:rPr>
                <w:rFonts w:eastAsia="MS Mincho"/>
                <w:sz w:val="24"/>
                <w:szCs w:val="24"/>
                <w:lang w:eastAsia="en-US"/>
              </w:rPr>
              <w:t>Marburg</w:t>
            </w:r>
            <w:r w:rsidRPr="004E3691">
              <w:rPr>
                <w:rFonts w:eastAsia="MS Mincho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915" w:type="dxa"/>
            <w:vAlign w:val="center"/>
          </w:tcPr>
          <w:p w14:paraId="30CAD3CE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1" w:type="dxa"/>
            <w:vAlign w:val="center"/>
          </w:tcPr>
          <w:p w14:paraId="702C5196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1960" w:type="dxa"/>
          </w:tcPr>
          <w:p w14:paraId="6F42D9D5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UN 2814 / P620</w:t>
            </w:r>
          </w:p>
        </w:tc>
        <w:tc>
          <w:tcPr>
            <w:tcW w:w="3346" w:type="dxa"/>
            <w:vAlign w:val="center"/>
          </w:tcPr>
          <w:p w14:paraId="72ABA169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hodowle</w:t>
            </w:r>
            <w:proofErr w:type="spellEnd"/>
          </w:p>
        </w:tc>
      </w:tr>
      <w:tr w:rsidR="00C62FCF" w:rsidRPr="00C62FCF" w14:paraId="33F6F7AE" w14:textId="77777777" w:rsidTr="002C5F18">
        <w:trPr>
          <w:jc w:val="center"/>
        </w:trPr>
        <w:tc>
          <w:tcPr>
            <w:tcW w:w="3895" w:type="dxa"/>
            <w:vAlign w:val="center"/>
          </w:tcPr>
          <w:p w14:paraId="119E904C" w14:textId="396299C0" w:rsidR="00C62FCF" w:rsidRPr="004E3691" w:rsidRDefault="004F4E22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r w:rsidR="00C62FCF" w:rsidRPr="004E3691">
              <w:rPr>
                <w:rFonts w:eastAsia="MS Mincho"/>
                <w:sz w:val="24"/>
                <w:szCs w:val="24"/>
                <w:lang w:eastAsia="en-US"/>
              </w:rPr>
              <w:t>Lassa</w:t>
            </w:r>
            <w:r w:rsidRPr="004E3691">
              <w:rPr>
                <w:rFonts w:eastAsia="MS Mincho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915" w:type="dxa"/>
            <w:vAlign w:val="center"/>
          </w:tcPr>
          <w:p w14:paraId="0B125BE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1" w:type="dxa"/>
            <w:vAlign w:val="center"/>
          </w:tcPr>
          <w:p w14:paraId="5A5D3BEF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1960" w:type="dxa"/>
          </w:tcPr>
          <w:p w14:paraId="45D11970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UN 2814 / P620</w:t>
            </w:r>
          </w:p>
        </w:tc>
        <w:tc>
          <w:tcPr>
            <w:tcW w:w="3346" w:type="dxa"/>
            <w:vAlign w:val="center"/>
          </w:tcPr>
          <w:p w14:paraId="01C9C0D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hodowle</w:t>
            </w:r>
            <w:proofErr w:type="spellEnd"/>
          </w:p>
        </w:tc>
      </w:tr>
      <w:tr w:rsidR="00C62FCF" w:rsidRPr="00C62FCF" w14:paraId="7018ED39" w14:textId="77777777" w:rsidTr="002C5F18">
        <w:trPr>
          <w:jc w:val="center"/>
        </w:trPr>
        <w:tc>
          <w:tcPr>
            <w:tcW w:w="3895" w:type="dxa"/>
            <w:vAlign w:val="center"/>
          </w:tcPr>
          <w:p w14:paraId="24889B51" w14:textId="16B13B56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Hantawirusy</w:t>
            </w:r>
            <w:proofErr w:type="spellEnd"/>
            <w:r w:rsidR="004F4E22" w:rsidRPr="004E3691">
              <w:rPr>
                <w:rFonts w:eastAsia="MS Mincho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915" w:type="dxa"/>
            <w:vAlign w:val="center"/>
          </w:tcPr>
          <w:p w14:paraId="27BB3962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54953EF7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1960" w:type="dxa"/>
          </w:tcPr>
          <w:p w14:paraId="7C9D65D0" w14:textId="77777777" w:rsidR="00C62FCF" w:rsidRPr="004E3691" w:rsidRDefault="00C62FCF" w:rsidP="00C62FCF">
            <w:pPr>
              <w:rPr>
                <w:rFonts w:eastAsia="MS Mincho"/>
                <w:b/>
                <w:bCs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b/>
                <w:bCs/>
                <w:sz w:val="24"/>
                <w:szCs w:val="24"/>
                <w:lang w:eastAsia="en-US"/>
              </w:rPr>
              <w:t>UN 2814 / P620</w:t>
            </w:r>
          </w:p>
        </w:tc>
        <w:tc>
          <w:tcPr>
            <w:tcW w:w="3346" w:type="dxa"/>
            <w:vAlign w:val="center"/>
          </w:tcPr>
          <w:p w14:paraId="3D57E5D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Próbki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kliniczne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hodowle</w:t>
            </w:r>
            <w:proofErr w:type="spellEnd"/>
          </w:p>
        </w:tc>
      </w:tr>
      <w:tr w:rsidR="00C62FCF" w:rsidRPr="00C62FCF" w14:paraId="4CF02FEB" w14:textId="77777777" w:rsidTr="002C5F18">
        <w:trPr>
          <w:jc w:val="center"/>
        </w:trPr>
        <w:tc>
          <w:tcPr>
            <w:tcW w:w="3895" w:type="dxa"/>
            <w:vAlign w:val="center"/>
          </w:tcPr>
          <w:p w14:paraId="0751A38A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ospy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małpiej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(MPXV)</w:t>
            </w:r>
          </w:p>
        </w:tc>
        <w:tc>
          <w:tcPr>
            <w:tcW w:w="1915" w:type="dxa"/>
            <w:vAlign w:val="center"/>
          </w:tcPr>
          <w:p w14:paraId="61FB941C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0B6DF21B" w14:textId="77777777" w:rsidR="00C62FCF" w:rsidRPr="004E3691" w:rsidRDefault="00C62FCF" w:rsidP="00C62FCF">
            <w:pPr>
              <w:rPr>
                <w:rFonts w:eastAsia="MS Mincho"/>
                <w:b/>
                <w:bCs/>
                <w:color w:val="EE0000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13EDB9EC" w14:textId="77777777" w:rsidR="00C62FCF" w:rsidRPr="004E3691" w:rsidRDefault="00C62FCF" w:rsidP="00C62FCF">
            <w:pPr>
              <w:rPr>
                <w:rFonts w:eastAsia="MS Mincho"/>
                <w:b/>
                <w:bCs/>
                <w:color w:val="EE0000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22024A7C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  <w:tr w:rsidR="00C62FCF" w:rsidRPr="00C62FCF" w14:paraId="4F481A74" w14:textId="77777777" w:rsidTr="002C5F18">
        <w:trPr>
          <w:jc w:val="center"/>
        </w:trPr>
        <w:tc>
          <w:tcPr>
            <w:tcW w:w="3895" w:type="dxa"/>
            <w:vAlign w:val="center"/>
          </w:tcPr>
          <w:p w14:paraId="356B1F0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E3691">
              <w:rPr>
                <w:rFonts w:eastAsia="MS Mincho"/>
                <w:sz w:val="24"/>
                <w:szCs w:val="24"/>
                <w:lang w:eastAsia="en-US"/>
              </w:rPr>
              <w:t>dengi</w:t>
            </w:r>
            <w:proofErr w:type="spellEnd"/>
            <w:r w:rsidRPr="004E3691">
              <w:rPr>
                <w:rFonts w:eastAsia="MS Mincho"/>
                <w:sz w:val="24"/>
                <w:szCs w:val="24"/>
                <w:lang w:eastAsia="en-US"/>
              </w:rPr>
              <w:t xml:space="preserve"> (DENV)</w:t>
            </w:r>
          </w:p>
        </w:tc>
        <w:tc>
          <w:tcPr>
            <w:tcW w:w="1915" w:type="dxa"/>
            <w:vAlign w:val="center"/>
          </w:tcPr>
          <w:p w14:paraId="6992A636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39FF4ED1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127F82AB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40C48C53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  <w:tr w:rsidR="00C62FCF" w:rsidRPr="00C62FCF" w14:paraId="233A6636" w14:textId="77777777" w:rsidTr="002C5F18">
        <w:trPr>
          <w:jc w:val="center"/>
        </w:trPr>
        <w:tc>
          <w:tcPr>
            <w:tcW w:w="3895" w:type="dxa"/>
            <w:vAlign w:val="center"/>
          </w:tcPr>
          <w:p w14:paraId="1C2BA6D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lastRenderedPageBreak/>
              <w:t>Wirus gorączki Zachodniego Nilu (WNV)</w:t>
            </w:r>
          </w:p>
        </w:tc>
        <w:tc>
          <w:tcPr>
            <w:tcW w:w="1915" w:type="dxa"/>
            <w:vAlign w:val="center"/>
          </w:tcPr>
          <w:p w14:paraId="51AD3424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7CB62A55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7382F63D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4E3691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022D69A4" w14:textId="77777777" w:rsidR="00C62FCF" w:rsidRPr="004E3691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4E3691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  <w:tr w:rsidR="00C62FCF" w:rsidRPr="00F43E44" w14:paraId="406F19BD" w14:textId="77777777" w:rsidTr="002C5F18">
        <w:trPr>
          <w:jc w:val="center"/>
        </w:trPr>
        <w:tc>
          <w:tcPr>
            <w:tcW w:w="3895" w:type="dxa"/>
            <w:vAlign w:val="center"/>
          </w:tcPr>
          <w:p w14:paraId="126FF0DA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F43E44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F43E44">
              <w:rPr>
                <w:rFonts w:eastAsia="MS Mincho"/>
                <w:sz w:val="24"/>
                <w:szCs w:val="24"/>
                <w:lang w:eastAsia="en-US"/>
              </w:rPr>
              <w:t xml:space="preserve"> Chikungunya (CHIKV)</w:t>
            </w:r>
          </w:p>
        </w:tc>
        <w:tc>
          <w:tcPr>
            <w:tcW w:w="1915" w:type="dxa"/>
            <w:vAlign w:val="center"/>
          </w:tcPr>
          <w:p w14:paraId="6B778D65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1" w:type="dxa"/>
            <w:vAlign w:val="center"/>
          </w:tcPr>
          <w:p w14:paraId="6478505A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76AF85DA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46AEF162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F43E44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  <w:tr w:rsidR="00C62FCF" w:rsidRPr="00F43E44" w14:paraId="7D435958" w14:textId="77777777" w:rsidTr="002C5F18">
        <w:trPr>
          <w:jc w:val="center"/>
        </w:trPr>
        <w:tc>
          <w:tcPr>
            <w:tcW w:w="3895" w:type="dxa"/>
            <w:vAlign w:val="center"/>
          </w:tcPr>
          <w:p w14:paraId="013B3909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proofErr w:type="spellStart"/>
            <w:r w:rsidRPr="00F43E44">
              <w:rPr>
                <w:rFonts w:eastAsia="MS Mincho"/>
                <w:sz w:val="24"/>
                <w:szCs w:val="24"/>
                <w:lang w:eastAsia="en-US"/>
              </w:rPr>
              <w:t>Wirus</w:t>
            </w:r>
            <w:proofErr w:type="spellEnd"/>
            <w:r w:rsidRPr="00F43E44">
              <w:rPr>
                <w:rFonts w:eastAsia="MS Mincho"/>
                <w:sz w:val="24"/>
                <w:szCs w:val="24"/>
                <w:lang w:eastAsia="en-US"/>
              </w:rPr>
              <w:t xml:space="preserve"> Usutu (USUV)</w:t>
            </w:r>
          </w:p>
        </w:tc>
        <w:tc>
          <w:tcPr>
            <w:tcW w:w="1915" w:type="dxa"/>
            <w:vAlign w:val="center"/>
          </w:tcPr>
          <w:p w14:paraId="5807CBC9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1" w:type="dxa"/>
            <w:vAlign w:val="center"/>
          </w:tcPr>
          <w:p w14:paraId="3E21BCBB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960" w:type="dxa"/>
            <w:vAlign w:val="center"/>
          </w:tcPr>
          <w:p w14:paraId="2F5227A7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eastAsia="en-US"/>
              </w:rPr>
            </w:pPr>
            <w:r w:rsidRPr="00F43E44">
              <w:rPr>
                <w:rFonts w:eastAsia="MS Mincho"/>
                <w:sz w:val="24"/>
                <w:szCs w:val="24"/>
                <w:lang w:eastAsia="en-US"/>
              </w:rPr>
              <w:t>UN 3373 / P650</w:t>
            </w:r>
          </w:p>
        </w:tc>
        <w:tc>
          <w:tcPr>
            <w:tcW w:w="3346" w:type="dxa"/>
            <w:vAlign w:val="center"/>
          </w:tcPr>
          <w:p w14:paraId="7DC803B6" w14:textId="77777777" w:rsidR="00C62FCF" w:rsidRPr="00F43E44" w:rsidRDefault="00C62FCF" w:rsidP="00C62FCF">
            <w:pPr>
              <w:rPr>
                <w:rFonts w:eastAsia="MS Mincho"/>
                <w:sz w:val="24"/>
                <w:szCs w:val="24"/>
                <w:lang w:val="pl-PL" w:eastAsia="en-US"/>
              </w:rPr>
            </w:pPr>
            <w:r w:rsidRPr="00F43E44">
              <w:rPr>
                <w:rFonts w:eastAsia="MS Mincho"/>
                <w:sz w:val="24"/>
                <w:szCs w:val="24"/>
                <w:lang w:val="pl-PL" w:eastAsia="en-US"/>
              </w:rPr>
              <w:t>Kategoria A dotyczy hodowli; próbki pacjenta – B</w:t>
            </w:r>
          </w:p>
        </w:tc>
      </w:tr>
    </w:tbl>
    <w:p w14:paraId="21CDB1E0" w14:textId="05F08BCC" w:rsidR="004F4E22" w:rsidRPr="00F43E44" w:rsidRDefault="004F4E22" w:rsidP="004F4E22">
      <w:pPr>
        <w:rPr>
          <w:rFonts w:eastAsia="MS Mincho"/>
          <w:sz w:val="22"/>
          <w:szCs w:val="22"/>
          <w:lang w:eastAsia="en-US"/>
        </w:rPr>
      </w:pPr>
      <w:r w:rsidRPr="00F43E44">
        <w:rPr>
          <w:rFonts w:eastAsia="MS Mincho"/>
          <w:sz w:val="22"/>
          <w:szCs w:val="22"/>
          <w:lang w:eastAsia="en-US"/>
        </w:rPr>
        <w:t>* - wirusy, dla których próbki kliniczne są klasyfikowane jako kategoria A zgodnie z ADR</w:t>
      </w:r>
    </w:p>
    <w:p w14:paraId="660DF37D" w14:textId="77777777" w:rsidR="004F4E22" w:rsidRPr="00C62FCF" w:rsidRDefault="004F4E22" w:rsidP="00C62FCF">
      <w:pPr>
        <w:spacing w:after="200" w:line="276" w:lineRule="auto"/>
        <w:rPr>
          <w:rFonts w:ascii="Calibri" w:eastAsia="MS Mincho" w:hAnsi="Calibri" w:cs="Calibri"/>
          <w:sz w:val="18"/>
          <w:szCs w:val="22"/>
          <w:lang w:eastAsia="en-US"/>
        </w:rPr>
      </w:pPr>
    </w:p>
    <w:p w14:paraId="59BF371B" w14:textId="475C2ECB" w:rsidR="00C62FCF" w:rsidRPr="00F43E44" w:rsidRDefault="00C62FCF" w:rsidP="00C62FCF">
      <w:pPr>
        <w:spacing w:after="200" w:line="276" w:lineRule="auto"/>
        <w:rPr>
          <w:rFonts w:eastAsia="MS Mincho"/>
          <w:sz w:val="18"/>
          <w:szCs w:val="22"/>
          <w:lang w:eastAsia="en-US"/>
        </w:rPr>
      </w:pPr>
      <w:r w:rsidRPr="00F43E44">
        <w:rPr>
          <w:rFonts w:eastAsia="MS Mincho"/>
          <w:sz w:val="18"/>
          <w:szCs w:val="22"/>
          <w:lang w:eastAsia="en-US"/>
        </w:rPr>
        <w:t>Podstawy prawne:</w:t>
      </w:r>
    </w:p>
    <w:p w14:paraId="17B1F063" w14:textId="77777777" w:rsidR="00C62FCF" w:rsidRPr="00F43E44" w:rsidRDefault="00C62FCF" w:rsidP="004F4E22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="MS Mincho"/>
          <w:sz w:val="18"/>
          <w:szCs w:val="22"/>
          <w:lang w:eastAsia="en-US"/>
        </w:rPr>
      </w:pPr>
      <w:r w:rsidRPr="00F43E44">
        <w:rPr>
          <w:rFonts w:eastAsia="MS Mincho"/>
          <w:sz w:val="18"/>
          <w:szCs w:val="22"/>
          <w:lang w:eastAsia="en-US"/>
        </w:rPr>
        <w:t>Rozporządzenie Ministra Zdrowia z dnia 22 kwietnia 2005 r. w sprawie szkodliwych czynników biologicznych dla zdrowia w środowisku pracy oraz ochrony zdrowia pracowników zawodowo narażonych na te czynniki — tekst jednolity ogłoszony w Dz.U. 2026 poz. 103.</w:t>
      </w:r>
    </w:p>
    <w:p w14:paraId="205FB6D2" w14:textId="77777777" w:rsidR="00C62FCF" w:rsidRPr="00F43E44" w:rsidRDefault="00C62FCF" w:rsidP="004F4E22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="MS Mincho"/>
          <w:sz w:val="18"/>
          <w:szCs w:val="22"/>
          <w:lang w:eastAsia="en-US"/>
        </w:rPr>
      </w:pPr>
      <w:r w:rsidRPr="00F43E44">
        <w:rPr>
          <w:rFonts w:eastAsia="MS Mincho"/>
          <w:sz w:val="18"/>
          <w:szCs w:val="22"/>
          <w:lang w:eastAsia="en-US"/>
        </w:rPr>
        <w:t>Oświadczenie rządowe z dnia 6 marca 2025 r. w sprawie wejścia w życie zmian do załączników A i B do Umowy dotyczącej międzynarodowego przewozu drogowego towarów niebezpiecznych (ADR), sporządzonej w Genewie dnia 30 września 1957 r. — Dz.U. 2025 poz. 642.</w:t>
      </w:r>
    </w:p>
    <w:p w14:paraId="5E641FD5" w14:textId="77777777" w:rsidR="004F4E22" w:rsidRPr="00F43E44" w:rsidRDefault="00C62FCF" w:rsidP="004F4E22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="MS Mincho"/>
          <w:sz w:val="18"/>
          <w:szCs w:val="22"/>
          <w:lang w:eastAsia="en-US"/>
        </w:rPr>
      </w:pPr>
      <w:proofErr w:type="spellStart"/>
      <w:r w:rsidRPr="00F43E44">
        <w:rPr>
          <w:rFonts w:eastAsia="MS Mincho"/>
          <w:sz w:val="18"/>
          <w:szCs w:val="22"/>
          <w:lang w:eastAsia="en-US"/>
        </w:rPr>
        <w:t>Guidance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on </w:t>
      </w:r>
      <w:proofErr w:type="spellStart"/>
      <w:r w:rsidRPr="00F43E44">
        <w:rPr>
          <w:rFonts w:eastAsia="MS Mincho"/>
          <w:sz w:val="18"/>
          <w:szCs w:val="22"/>
          <w:lang w:eastAsia="en-US"/>
        </w:rPr>
        <w:t>regulations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for the transport of </w:t>
      </w:r>
      <w:proofErr w:type="spellStart"/>
      <w:r w:rsidRPr="00F43E44">
        <w:rPr>
          <w:rFonts w:eastAsia="MS Mincho"/>
          <w:sz w:val="18"/>
          <w:szCs w:val="22"/>
          <w:lang w:eastAsia="en-US"/>
        </w:rPr>
        <w:t>infectious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</w:t>
      </w:r>
      <w:proofErr w:type="spellStart"/>
      <w:r w:rsidRPr="00F43E44">
        <w:rPr>
          <w:rFonts w:eastAsia="MS Mincho"/>
          <w:sz w:val="18"/>
          <w:szCs w:val="22"/>
          <w:lang w:eastAsia="en-US"/>
        </w:rPr>
        <w:t>substances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2025–2026: </w:t>
      </w:r>
      <w:proofErr w:type="spellStart"/>
      <w:r w:rsidRPr="00F43E44">
        <w:rPr>
          <w:rFonts w:eastAsia="MS Mincho"/>
          <w:sz w:val="18"/>
          <w:szCs w:val="22"/>
          <w:lang w:eastAsia="en-US"/>
        </w:rPr>
        <w:t>applicable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as from 1 </w:t>
      </w:r>
      <w:proofErr w:type="spellStart"/>
      <w:r w:rsidRPr="00F43E44">
        <w:rPr>
          <w:rFonts w:eastAsia="MS Mincho"/>
          <w:sz w:val="18"/>
          <w:szCs w:val="22"/>
          <w:lang w:eastAsia="en-US"/>
        </w:rPr>
        <w:t>October</w:t>
      </w:r>
      <w:proofErr w:type="spellEnd"/>
      <w:r w:rsidRPr="00F43E44">
        <w:rPr>
          <w:rFonts w:eastAsia="MS Mincho"/>
          <w:sz w:val="18"/>
          <w:szCs w:val="22"/>
          <w:lang w:eastAsia="en-US"/>
        </w:rPr>
        <w:t xml:space="preserve"> 2025 — World Health Organization, 2026.Wytyczne WHO dotyczące transportu materiałów zakaźnych – pomocniczo przy interpretacji kategorii A/B, w tym rozróżnieniu próbka kliniczna vs hodowla.</w:t>
      </w:r>
    </w:p>
    <w:p w14:paraId="12F55A41" w14:textId="782FD750" w:rsidR="00475564" w:rsidRDefault="00475564" w:rsidP="004F4E22">
      <w:pPr>
        <w:spacing w:after="200" w:line="276" w:lineRule="auto"/>
        <w:ind w:left="360"/>
        <w:contextualSpacing/>
        <w:jc w:val="both"/>
        <w:rPr>
          <w:rFonts w:ascii="Calibri" w:eastAsia="MS Mincho" w:hAnsi="Calibri" w:cs="Calibri"/>
          <w:sz w:val="18"/>
          <w:szCs w:val="22"/>
          <w:lang w:eastAsia="en-US"/>
        </w:rPr>
      </w:pPr>
      <w:r>
        <w:rPr>
          <w:rFonts w:ascii="Calibri" w:eastAsia="MS Mincho" w:hAnsi="Calibri" w:cs="Calibri"/>
          <w:sz w:val="18"/>
          <w:szCs w:val="22"/>
          <w:lang w:eastAsia="en-US"/>
        </w:rPr>
        <w:br/>
      </w:r>
    </w:p>
    <w:p w14:paraId="5B3BC9F9" w14:textId="77777777" w:rsidR="00475564" w:rsidRDefault="00475564">
      <w:pPr>
        <w:spacing w:after="160" w:line="278" w:lineRule="auto"/>
        <w:rPr>
          <w:rFonts w:ascii="Calibri" w:eastAsia="MS Mincho" w:hAnsi="Calibri" w:cs="Calibri"/>
          <w:sz w:val="18"/>
          <w:szCs w:val="22"/>
          <w:lang w:eastAsia="en-US"/>
        </w:rPr>
      </w:pPr>
      <w:r>
        <w:rPr>
          <w:rFonts w:ascii="Calibri" w:eastAsia="MS Mincho" w:hAnsi="Calibri" w:cs="Calibri"/>
          <w:sz w:val="18"/>
          <w:szCs w:val="22"/>
          <w:lang w:eastAsia="en-US"/>
        </w:rPr>
        <w:br w:type="page"/>
      </w:r>
    </w:p>
    <w:p w14:paraId="1FC03B36" w14:textId="37764F18" w:rsidR="00475564" w:rsidRPr="00F43E44" w:rsidRDefault="00475564" w:rsidP="00475564">
      <w:pPr>
        <w:spacing w:after="200" w:line="276" w:lineRule="auto"/>
        <w:jc w:val="right"/>
        <w:rPr>
          <w:rFonts w:eastAsia="MS Mincho"/>
          <w:bCs/>
          <w:sz w:val="20"/>
          <w:szCs w:val="14"/>
          <w:lang w:eastAsia="en-US"/>
        </w:rPr>
      </w:pPr>
      <w:r w:rsidRPr="00F43E44">
        <w:rPr>
          <w:rFonts w:eastAsia="MS Mincho"/>
          <w:noProof/>
          <w:sz w:val="18"/>
          <w:szCs w:val="22"/>
          <w:lang w:eastAsia="en-US"/>
        </w:rPr>
        <w:lastRenderedPageBreak/>
        <w:drawing>
          <wp:anchor distT="0" distB="0" distL="114300" distR="114300" simplePos="0" relativeHeight="251658240" behindDoc="1" locked="0" layoutInCell="1" allowOverlap="1" wp14:anchorId="4358A68D" wp14:editId="2FE70040">
            <wp:simplePos x="0" y="0"/>
            <wp:positionH relativeFrom="margin">
              <wp:posOffset>378460</wp:posOffset>
            </wp:positionH>
            <wp:positionV relativeFrom="paragraph">
              <wp:posOffset>-90805</wp:posOffset>
            </wp:positionV>
            <wp:extent cx="7379824" cy="5213350"/>
            <wp:effectExtent l="0" t="0" r="0" b="6350"/>
            <wp:wrapNone/>
            <wp:docPr id="13381291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190" cy="522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3E44">
        <w:rPr>
          <w:rFonts w:eastAsia="MS Mincho"/>
          <w:bCs/>
          <w:sz w:val="20"/>
          <w:szCs w:val="14"/>
          <w:lang w:eastAsia="en-US"/>
        </w:rPr>
        <w:t>Załącznik nr 2</w:t>
      </w:r>
    </w:p>
    <w:p w14:paraId="3AFA48EA" w14:textId="720699C1" w:rsidR="00475564" w:rsidRPr="00475564" w:rsidRDefault="00475564" w:rsidP="00475564">
      <w:pPr>
        <w:spacing w:after="200" w:line="276" w:lineRule="auto"/>
        <w:ind w:left="720"/>
        <w:contextualSpacing/>
        <w:rPr>
          <w:rFonts w:ascii="Calibri" w:eastAsia="MS Mincho" w:hAnsi="Calibri" w:cs="Calibri"/>
          <w:sz w:val="18"/>
          <w:szCs w:val="22"/>
          <w:lang w:eastAsia="en-US"/>
        </w:rPr>
      </w:pPr>
    </w:p>
    <w:p w14:paraId="47C46FD7" w14:textId="77777777" w:rsidR="00C62FCF" w:rsidRPr="00C62FCF" w:rsidRDefault="00C62FCF" w:rsidP="00475564">
      <w:pPr>
        <w:spacing w:after="200" w:line="276" w:lineRule="auto"/>
        <w:ind w:left="720"/>
        <w:contextualSpacing/>
        <w:rPr>
          <w:rFonts w:ascii="Calibri" w:eastAsia="MS Mincho" w:hAnsi="Calibri" w:cs="Calibri"/>
          <w:sz w:val="18"/>
          <w:szCs w:val="22"/>
          <w:lang w:eastAsia="en-US"/>
        </w:rPr>
      </w:pPr>
    </w:p>
    <w:p w14:paraId="6994196C" w14:textId="77777777" w:rsidR="00C62FCF" w:rsidRPr="00C62FCF" w:rsidRDefault="00C62FCF" w:rsidP="00C62FCF">
      <w:pPr>
        <w:spacing w:after="200" w:line="276" w:lineRule="auto"/>
        <w:rPr>
          <w:rFonts w:ascii="Calibri" w:eastAsia="MS Mincho" w:hAnsi="Calibri" w:cs="Calibri"/>
          <w:sz w:val="18"/>
          <w:szCs w:val="22"/>
          <w:lang w:eastAsia="en-US"/>
        </w:rPr>
      </w:pPr>
    </w:p>
    <w:p w14:paraId="71A02BB5" w14:textId="77777777" w:rsidR="00C62FCF" w:rsidRPr="00C62FCF" w:rsidRDefault="00C62FCF" w:rsidP="00C62FCF">
      <w:pPr>
        <w:spacing w:after="200" w:line="276" w:lineRule="auto"/>
        <w:rPr>
          <w:rFonts w:ascii="Calibri" w:eastAsia="MS Mincho" w:hAnsi="Calibri" w:cs="Calibri"/>
          <w:sz w:val="18"/>
          <w:szCs w:val="22"/>
          <w:lang w:eastAsia="en-US"/>
        </w:rPr>
      </w:pPr>
    </w:p>
    <w:p w14:paraId="75412772" w14:textId="498C770E" w:rsidR="00C62FCF" w:rsidRDefault="00C62FCF">
      <w:pPr>
        <w:spacing w:after="160" w:line="278" w:lineRule="auto"/>
      </w:pPr>
    </w:p>
    <w:p w14:paraId="2CC03B0A" w14:textId="77777777" w:rsidR="00632B4A" w:rsidRDefault="00632B4A">
      <w:pPr>
        <w:spacing w:before="120" w:after="120" w:line="276" w:lineRule="auto"/>
      </w:pPr>
    </w:p>
    <w:p w14:paraId="61A3B04C" w14:textId="77777777" w:rsidR="003D02DD" w:rsidRDefault="003D02DD">
      <w:pPr>
        <w:spacing w:before="120" w:after="120" w:line="276" w:lineRule="auto"/>
      </w:pPr>
    </w:p>
    <w:p w14:paraId="5E30294B" w14:textId="77777777" w:rsidR="003D02DD" w:rsidRDefault="003D02DD">
      <w:pPr>
        <w:spacing w:before="120" w:after="120" w:line="276" w:lineRule="auto"/>
      </w:pPr>
    </w:p>
    <w:p w14:paraId="21551263" w14:textId="77777777" w:rsidR="003D02DD" w:rsidRDefault="003D02DD">
      <w:pPr>
        <w:spacing w:before="120" w:after="120" w:line="276" w:lineRule="auto"/>
      </w:pPr>
    </w:p>
    <w:p w14:paraId="764F7C44" w14:textId="77777777" w:rsidR="003D02DD" w:rsidRDefault="003D02DD">
      <w:pPr>
        <w:spacing w:before="120" w:after="120" w:line="276" w:lineRule="auto"/>
      </w:pPr>
    </w:p>
    <w:p w14:paraId="7A152902" w14:textId="77777777" w:rsidR="003D02DD" w:rsidRDefault="003D02DD">
      <w:pPr>
        <w:spacing w:before="120" w:after="120" w:line="276" w:lineRule="auto"/>
      </w:pPr>
    </w:p>
    <w:p w14:paraId="79042B12" w14:textId="77777777" w:rsidR="003D02DD" w:rsidRDefault="003D02DD">
      <w:pPr>
        <w:spacing w:before="120" w:after="120" w:line="276" w:lineRule="auto"/>
      </w:pPr>
    </w:p>
    <w:p w14:paraId="6F00725B" w14:textId="77777777" w:rsidR="003D02DD" w:rsidRDefault="003D02DD">
      <w:pPr>
        <w:spacing w:before="120" w:after="120" w:line="276" w:lineRule="auto"/>
      </w:pPr>
    </w:p>
    <w:p w14:paraId="6DDEDEAC" w14:textId="77777777" w:rsidR="003D02DD" w:rsidRDefault="003D02DD">
      <w:pPr>
        <w:spacing w:before="120" w:after="120" w:line="276" w:lineRule="auto"/>
      </w:pPr>
    </w:p>
    <w:p w14:paraId="2891F88D" w14:textId="77777777" w:rsidR="003D02DD" w:rsidRDefault="003D02DD">
      <w:pPr>
        <w:spacing w:before="120" w:after="120" w:line="276" w:lineRule="auto"/>
      </w:pPr>
    </w:p>
    <w:p w14:paraId="23B9F3E6" w14:textId="77777777" w:rsidR="003D02DD" w:rsidRDefault="003D02DD">
      <w:pPr>
        <w:spacing w:before="120" w:after="120" w:line="276" w:lineRule="auto"/>
      </w:pPr>
    </w:p>
    <w:p w14:paraId="2001CE2D" w14:textId="77777777" w:rsidR="003D02DD" w:rsidRDefault="003D02DD">
      <w:pPr>
        <w:spacing w:before="120" w:after="120" w:line="276" w:lineRule="auto"/>
      </w:pPr>
    </w:p>
    <w:p w14:paraId="7E4966E3" w14:textId="77777777" w:rsidR="003D02DD" w:rsidRDefault="003D02DD">
      <w:pPr>
        <w:spacing w:before="120" w:after="120" w:line="276" w:lineRule="auto"/>
      </w:pPr>
    </w:p>
    <w:p w14:paraId="67D90938" w14:textId="77777777" w:rsidR="003D02DD" w:rsidRDefault="003D02DD">
      <w:pPr>
        <w:spacing w:before="120" w:after="120" w:line="276" w:lineRule="auto"/>
      </w:pPr>
    </w:p>
    <w:p w14:paraId="63D5237F" w14:textId="55602FEF" w:rsidR="00F35916" w:rsidRPr="00F35916" w:rsidRDefault="003D02DD" w:rsidP="003D02DD">
      <w:pPr>
        <w:spacing w:before="120" w:after="120" w:line="276" w:lineRule="auto"/>
        <w:rPr>
          <w:rFonts w:ascii="Calibri" w:eastAsia="MS Mincho" w:hAnsi="Calibri" w:cs="Calibri"/>
          <w:i/>
          <w:iCs/>
          <w:sz w:val="18"/>
          <w:szCs w:val="22"/>
          <w:lang w:eastAsia="en-US"/>
        </w:rPr>
      </w:pPr>
      <w:r>
        <w:rPr>
          <w:rFonts w:ascii="Calibri" w:eastAsia="MS Mincho" w:hAnsi="Calibri" w:cs="Calibri"/>
          <w:sz w:val="18"/>
          <w:szCs w:val="22"/>
          <w:lang w:eastAsia="en-US"/>
        </w:rPr>
        <w:t xml:space="preserve">Źródło: </w:t>
      </w:r>
      <w:r w:rsidR="002A7F7C" w:rsidRPr="002A7F7C">
        <w:rPr>
          <w:rFonts w:ascii="Calibri" w:eastAsia="MS Mincho" w:hAnsi="Calibri" w:cs="Calibri"/>
          <w:sz w:val="18"/>
          <w:szCs w:val="22"/>
          <w:lang w:eastAsia="en-US"/>
        </w:rPr>
        <w:t xml:space="preserve">opracowanie własne na podstawie przepisów Umowy dotyczącej międzynarodowego przewozu drogowego towarów niebezpiecznych (ADR), zgodnie z Dz.U. 2025 poz. 642, oraz wytycznych World </w:t>
      </w:r>
      <w:proofErr w:type="spellStart"/>
      <w:r w:rsidR="002A7F7C" w:rsidRPr="002A7F7C">
        <w:rPr>
          <w:rFonts w:ascii="Calibri" w:eastAsia="MS Mincho" w:hAnsi="Calibri" w:cs="Calibri"/>
          <w:sz w:val="18"/>
          <w:szCs w:val="22"/>
          <w:lang w:eastAsia="en-US"/>
        </w:rPr>
        <w:t>Health</w:t>
      </w:r>
      <w:proofErr w:type="spellEnd"/>
      <w:r w:rsidR="002A7F7C" w:rsidRPr="002A7F7C">
        <w:rPr>
          <w:rFonts w:ascii="Calibri" w:eastAsia="MS Mincho" w:hAnsi="Calibri" w:cs="Calibri"/>
          <w:sz w:val="18"/>
          <w:szCs w:val="22"/>
          <w:lang w:eastAsia="en-US"/>
        </w:rPr>
        <w:t xml:space="preserve"> Organization: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Guidance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on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regulations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for the transport of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infectious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substances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2025–2026: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applicable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as from 1 </w:t>
      </w:r>
      <w:proofErr w:type="spellStart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>October</w:t>
      </w:r>
      <w:proofErr w:type="spellEnd"/>
      <w:r w:rsidR="002A7F7C" w:rsidRPr="002A7F7C">
        <w:rPr>
          <w:rFonts w:ascii="Calibri" w:eastAsia="MS Mincho" w:hAnsi="Calibri" w:cs="Calibri"/>
          <w:i/>
          <w:iCs/>
          <w:sz w:val="18"/>
          <w:szCs w:val="22"/>
          <w:lang w:eastAsia="en-US"/>
        </w:rPr>
        <w:t xml:space="preserve"> 2025.</w:t>
      </w:r>
    </w:p>
    <w:sectPr w:rsidR="00F35916" w:rsidRPr="00F35916" w:rsidSect="00C62FCF">
      <w:pgSz w:w="16838" w:h="11906" w:orient="landscape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4FBE" w14:textId="77777777" w:rsidR="00A04F1C" w:rsidRDefault="00A04F1C" w:rsidP="00763285">
      <w:r>
        <w:separator/>
      </w:r>
    </w:p>
  </w:endnote>
  <w:endnote w:type="continuationSeparator" w:id="0">
    <w:p w14:paraId="6DC51C3A" w14:textId="77777777" w:rsidR="00A04F1C" w:rsidRDefault="00A04F1C" w:rsidP="0076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EuroSlavicL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37FB" w14:textId="77777777" w:rsidR="00A04F1C" w:rsidRDefault="00A04F1C" w:rsidP="00763285">
      <w:r>
        <w:separator/>
      </w:r>
    </w:p>
  </w:footnote>
  <w:footnote w:type="continuationSeparator" w:id="0">
    <w:p w14:paraId="1F8E58B0" w14:textId="77777777" w:rsidR="00A04F1C" w:rsidRDefault="00A04F1C" w:rsidP="00763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B0F1" w14:textId="174F3BA5" w:rsidR="00170BD0" w:rsidRDefault="00170BD0">
    <w:pPr>
      <w:pStyle w:val="Nagwek"/>
    </w:pPr>
    <w:r>
      <w:rPr>
        <w:noProof/>
        <w14:ligatures w14:val="standardContextual"/>
      </w:rPr>
      <w:drawing>
        <wp:inline distT="0" distB="0" distL="0" distR="0" wp14:anchorId="55AFEAF4" wp14:editId="70995ED6">
          <wp:extent cx="1086729" cy="514350"/>
          <wp:effectExtent l="0" t="0" r="0" b="0"/>
          <wp:docPr id="1979538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059833" name="Obraz 16490598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897" cy="518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7CC470" w14:textId="77777777" w:rsidR="00170BD0" w:rsidRDefault="00170B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5F6178"/>
    <w:multiLevelType w:val="hybridMultilevel"/>
    <w:tmpl w:val="CBC2740A"/>
    <w:lvl w:ilvl="0" w:tplc="041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4146C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676D25"/>
    <w:multiLevelType w:val="hybridMultilevel"/>
    <w:tmpl w:val="77069CB2"/>
    <w:lvl w:ilvl="0" w:tplc="CDA01134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400138"/>
    <w:multiLevelType w:val="hybridMultilevel"/>
    <w:tmpl w:val="18444CF8"/>
    <w:lvl w:ilvl="0" w:tplc="1B9CB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EuroSlavicL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15D54"/>
    <w:multiLevelType w:val="hybridMultilevel"/>
    <w:tmpl w:val="4F829260"/>
    <w:lvl w:ilvl="0" w:tplc="762622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D24B2"/>
    <w:multiLevelType w:val="hybridMultilevel"/>
    <w:tmpl w:val="79C8513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9045C36">
      <w:start w:val="1"/>
      <w:numFmt w:val="decimal"/>
      <w:lvlText w:val="%2."/>
      <w:lvlJc w:val="left"/>
      <w:pPr>
        <w:ind w:left="540" w:hanging="360"/>
      </w:pPr>
      <w:rPr>
        <w:rFonts w:hint="default"/>
        <w:b w:val="0"/>
        <w:bCs w:val="0"/>
        <w:i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D90909"/>
    <w:multiLevelType w:val="hybridMultilevel"/>
    <w:tmpl w:val="A24E0194"/>
    <w:lvl w:ilvl="0" w:tplc="82EAD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35A27"/>
    <w:multiLevelType w:val="hybridMultilevel"/>
    <w:tmpl w:val="B896E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65349"/>
    <w:multiLevelType w:val="hybridMultilevel"/>
    <w:tmpl w:val="8EBC3B14"/>
    <w:lvl w:ilvl="0" w:tplc="F8CAF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166CB"/>
    <w:multiLevelType w:val="hybridMultilevel"/>
    <w:tmpl w:val="730059AE"/>
    <w:lvl w:ilvl="0" w:tplc="82EADE6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7BE64D3"/>
    <w:multiLevelType w:val="hybridMultilevel"/>
    <w:tmpl w:val="E200D91C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82EAD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CE7F87"/>
    <w:multiLevelType w:val="hybridMultilevel"/>
    <w:tmpl w:val="BB4CD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5239E"/>
    <w:multiLevelType w:val="hybridMultilevel"/>
    <w:tmpl w:val="800EFE0A"/>
    <w:lvl w:ilvl="0" w:tplc="82EADE6E">
      <w:start w:val="1"/>
      <w:numFmt w:val="bullet"/>
      <w:lvlText w:val=""/>
      <w:lvlJc w:val="left"/>
      <w:pPr>
        <w:tabs>
          <w:tab w:val="num" w:pos="723"/>
        </w:tabs>
        <w:ind w:left="723" w:hanging="363"/>
      </w:pPr>
      <w:rPr>
        <w:rFonts w:ascii="Symbol" w:hAnsi="Symbol" w:hint="default"/>
        <w:color w:val="0000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84067"/>
    <w:multiLevelType w:val="hybridMultilevel"/>
    <w:tmpl w:val="88FCB8B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EuroSlavicL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F2B49"/>
    <w:multiLevelType w:val="hybridMultilevel"/>
    <w:tmpl w:val="C4C2010E"/>
    <w:lvl w:ilvl="0" w:tplc="33A823CC">
      <w:start w:val="1"/>
      <w:numFmt w:val="upperRoman"/>
      <w:lvlText w:val="%1."/>
      <w:lvlJc w:val="left"/>
      <w:pPr>
        <w:ind w:left="78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3C7E723E"/>
    <w:multiLevelType w:val="hybridMultilevel"/>
    <w:tmpl w:val="36282346"/>
    <w:lvl w:ilvl="0" w:tplc="F8A8F1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992518"/>
    <w:multiLevelType w:val="hybridMultilevel"/>
    <w:tmpl w:val="813C545A"/>
    <w:lvl w:ilvl="0" w:tplc="732CD8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54709"/>
    <w:multiLevelType w:val="hybridMultilevel"/>
    <w:tmpl w:val="897E1042"/>
    <w:lvl w:ilvl="0" w:tplc="2EAA751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A6C52AB"/>
    <w:multiLevelType w:val="hybridMultilevel"/>
    <w:tmpl w:val="A552CA34"/>
    <w:lvl w:ilvl="0" w:tplc="A83A60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 w:val="0"/>
        <w:i w:val="0"/>
        <w:sz w:val="24"/>
        <w:szCs w:val="24"/>
      </w:rPr>
    </w:lvl>
    <w:lvl w:ilvl="1" w:tplc="FFFFFFFF">
      <w:start w:val="3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4CD5544D"/>
    <w:multiLevelType w:val="hybridMultilevel"/>
    <w:tmpl w:val="1AFEE1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82EAD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91542"/>
    <w:multiLevelType w:val="hybridMultilevel"/>
    <w:tmpl w:val="09FE9740"/>
    <w:lvl w:ilvl="0" w:tplc="A02C32E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04A3B"/>
    <w:multiLevelType w:val="hybridMultilevel"/>
    <w:tmpl w:val="10AE3DA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1" w:tplc="82EAD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60DF9"/>
    <w:multiLevelType w:val="hybridMultilevel"/>
    <w:tmpl w:val="8086FD6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D4E4B5C"/>
    <w:multiLevelType w:val="hybridMultilevel"/>
    <w:tmpl w:val="7EC4A24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30C117A"/>
    <w:multiLevelType w:val="hybridMultilevel"/>
    <w:tmpl w:val="0F68817A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EuroSlavicL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8245A"/>
    <w:multiLevelType w:val="hybridMultilevel"/>
    <w:tmpl w:val="2DE05F8E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82EAD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46B02FC"/>
    <w:multiLevelType w:val="hybridMultilevel"/>
    <w:tmpl w:val="817CFB26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1" w:tplc="82EAD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uroSlavicL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uroSlavicL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F6105"/>
    <w:multiLevelType w:val="hybridMultilevel"/>
    <w:tmpl w:val="AEC40AC6"/>
    <w:lvl w:ilvl="0" w:tplc="3A0652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25214EC">
      <w:start w:val="3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78645B7C"/>
    <w:multiLevelType w:val="multilevel"/>
    <w:tmpl w:val="E6A2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C12884"/>
    <w:multiLevelType w:val="hybridMultilevel"/>
    <w:tmpl w:val="82187A3A"/>
    <w:lvl w:ilvl="0" w:tplc="0D92F82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59898581">
    <w:abstractNumId w:val="1"/>
  </w:num>
  <w:num w:numId="2" w16cid:durableId="1388528708">
    <w:abstractNumId w:val="0"/>
  </w:num>
  <w:num w:numId="3" w16cid:durableId="825323942">
    <w:abstractNumId w:val="27"/>
  </w:num>
  <w:num w:numId="4" w16cid:durableId="1566643938">
    <w:abstractNumId w:val="14"/>
  </w:num>
  <w:num w:numId="5" w16cid:durableId="556476747">
    <w:abstractNumId w:val="17"/>
  </w:num>
  <w:num w:numId="6" w16cid:durableId="1356270461">
    <w:abstractNumId w:val="24"/>
  </w:num>
  <w:num w:numId="7" w16cid:durableId="1147892006">
    <w:abstractNumId w:val="7"/>
  </w:num>
  <w:num w:numId="8" w16cid:durableId="567495010">
    <w:abstractNumId w:val="3"/>
  </w:num>
  <w:num w:numId="9" w16cid:durableId="300767919">
    <w:abstractNumId w:val="9"/>
  </w:num>
  <w:num w:numId="10" w16cid:durableId="581136506">
    <w:abstractNumId w:val="20"/>
  </w:num>
  <w:num w:numId="11" w16cid:durableId="629017673">
    <w:abstractNumId w:val="29"/>
  </w:num>
  <w:num w:numId="12" w16cid:durableId="1241133722">
    <w:abstractNumId w:val="19"/>
  </w:num>
  <w:num w:numId="13" w16cid:durableId="1195850784">
    <w:abstractNumId w:val="23"/>
  </w:num>
  <w:num w:numId="14" w16cid:durableId="183710216">
    <w:abstractNumId w:val="4"/>
  </w:num>
  <w:num w:numId="15" w16cid:durableId="479807530">
    <w:abstractNumId w:val="26"/>
  </w:num>
  <w:num w:numId="16" w16cid:durableId="1973510879">
    <w:abstractNumId w:val="22"/>
  </w:num>
  <w:num w:numId="17" w16cid:durableId="1375543029">
    <w:abstractNumId w:val="16"/>
  </w:num>
  <w:num w:numId="18" w16cid:durableId="1814449427">
    <w:abstractNumId w:val="21"/>
  </w:num>
  <w:num w:numId="19" w16cid:durableId="1841459295">
    <w:abstractNumId w:val="13"/>
  </w:num>
  <w:num w:numId="20" w16cid:durableId="1882596727">
    <w:abstractNumId w:val="2"/>
  </w:num>
  <w:num w:numId="21" w16cid:durableId="914048270">
    <w:abstractNumId w:val="18"/>
  </w:num>
  <w:num w:numId="22" w16cid:durableId="2133359993">
    <w:abstractNumId w:val="5"/>
  </w:num>
  <w:num w:numId="23" w16cid:durableId="1333292366">
    <w:abstractNumId w:val="8"/>
  </w:num>
  <w:num w:numId="24" w16cid:durableId="1489786278">
    <w:abstractNumId w:val="25"/>
  </w:num>
  <w:num w:numId="25" w16cid:durableId="1160971329">
    <w:abstractNumId w:val="10"/>
  </w:num>
  <w:num w:numId="26" w16cid:durableId="1636985949">
    <w:abstractNumId w:val="15"/>
  </w:num>
  <w:num w:numId="27" w16cid:durableId="1202937686">
    <w:abstractNumId w:val="12"/>
  </w:num>
  <w:num w:numId="28" w16cid:durableId="910584200">
    <w:abstractNumId w:val="6"/>
  </w:num>
  <w:num w:numId="29" w16cid:durableId="1766799044">
    <w:abstractNumId w:val="28"/>
  </w:num>
  <w:num w:numId="30" w16cid:durableId="13440932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EE1"/>
    <w:rsid w:val="00005C17"/>
    <w:rsid w:val="00020CA4"/>
    <w:rsid w:val="0002100E"/>
    <w:rsid w:val="000251AA"/>
    <w:rsid w:val="00071F5D"/>
    <w:rsid w:val="000731AB"/>
    <w:rsid w:val="00077555"/>
    <w:rsid w:val="000A4F91"/>
    <w:rsid w:val="000A5C73"/>
    <w:rsid w:val="000B3AD7"/>
    <w:rsid w:val="000B4D14"/>
    <w:rsid w:val="000C38A1"/>
    <w:rsid w:val="001033BC"/>
    <w:rsid w:val="00121B7D"/>
    <w:rsid w:val="00124B95"/>
    <w:rsid w:val="001274D1"/>
    <w:rsid w:val="001660D5"/>
    <w:rsid w:val="0016729E"/>
    <w:rsid w:val="00170BD0"/>
    <w:rsid w:val="0017439B"/>
    <w:rsid w:val="0018528D"/>
    <w:rsid w:val="001A1F14"/>
    <w:rsid w:val="001A41A9"/>
    <w:rsid w:val="001B6707"/>
    <w:rsid w:val="001C723E"/>
    <w:rsid w:val="001D4269"/>
    <w:rsid w:val="001E6CD3"/>
    <w:rsid w:val="001F17E1"/>
    <w:rsid w:val="001F6679"/>
    <w:rsid w:val="00206946"/>
    <w:rsid w:val="00215E90"/>
    <w:rsid w:val="002377E3"/>
    <w:rsid w:val="0024261D"/>
    <w:rsid w:val="00246805"/>
    <w:rsid w:val="00251892"/>
    <w:rsid w:val="00292AA0"/>
    <w:rsid w:val="002A0E09"/>
    <w:rsid w:val="002A60AE"/>
    <w:rsid w:val="002A7F7C"/>
    <w:rsid w:val="002B5C61"/>
    <w:rsid w:val="002C2C73"/>
    <w:rsid w:val="002E0D41"/>
    <w:rsid w:val="002F3B15"/>
    <w:rsid w:val="003156B7"/>
    <w:rsid w:val="00334DD3"/>
    <w:rsid w:val="0035070D"/>
    <w:rsid w:val="00351083"/>
    <w:rsid w:val="003615D5"/>
    <w:rsid w:val="0036207D"/>
    <w:rsid w:val="0038085F"/>
    <w:rsid w:val="00381B72"/>
    <w:rsid w:val="0039073A"/>
    <w:rsid w:val="003B09BA"/>
    <w:rsid w:val="003B41E6"/>
    <w:rsid w:val="003B7408"/>
    <w:rsid w:val="003D02DD"/>
    <w:rsid w:val="003D08C0"/>
    <w:rsid w:val="003D14AB"/>
    <w:rsid w:val="003D1921"/>
    <w:rsid w:val="003E59E0"/>
    <w:rsid w:val="003F1AF7"/>
    <w:rsid w:val="003F5290"/>
    <w:rsid w:val="003F6D05"/>
    <w:rsid w:val="00407C25"/>
    <w:rsid w:val="00435558"/>
    <w:rsid w:val="00446EB5"/>
    <w:rsid w:val="004521A0"/>
    <w:rsid w:val="00453F65"/>
    <w:rsid w:val="00475564"/>
    <w:rsid w:val="004834EE"/>
    <w:rsid w:val="004948D3"/>
    <w:rsid w:val="004A1D1B"/>
    <w:rsid w:val="004C2D25"/>
    <w:rsid w:val="004D5D80"/>
    <w:rsid w:val="004E2A02"/>
    <w:rsid w:val="004E3691"/>
    <w:rsid w:val="004F4E22"/>
    <w:rsid w:val="004F702A"/>
    <w:rsid w:val="00522A04"/>
    <w:rsid w:val="005274D1"/>
    <w:rsid w:val="005423A3"/>
    <w:rsid w:val="005457F8"/>
    <w:rsid w:val="00555484"/>
    <w:rsid w:val="00562BA0"/>
    <w:rsid w:val="00571569"/>
    <w:rsid w:val="005922AE"/>
    <w:rsid w:val="005A6C9F"/>
    <w:rsid w:val="005B3A43"/>
    <w:rsid w:val="005B5420"/>
    <w:rsid w:val="005C3650"/>
    <w:rsid w:val="0060021F"/>
    <w:rsid w:val="006015F7"/>
    <w:rsid w:val="00615BB8"/>
    <w:rsid w:val="00632B4A"/>
    <w:rsid w:val="00656635"/>
    <w:rsid w:val="00680031"/>
    <w:rsid w:val="00683487"/>
    <w:rsid w:val="00686381"/>
    <w:rsid w:val="006C4C39"/>
    <w:rsid w:val="006C76B0"/>
    <w:rsid w:val="006D0928"/>
    <w:rsid w:val="006D3858"/>
    <w:rsid w:val="006E0948"/>
    <w:rsid w:val="006F3198"/>
    <w:rsid w:val="006F5E35"/>
    <w:rsid w:val="007109DA"/>
    <w:rsid w:val="00732D14"/>
    <w:rsid w:val="00746660"/>
    <w:rsid w:val="00761C0A"/>
    <w:rsid w:val="00763285"/>
    <w:rsid w:val="00772576"/>
    <w:rsid w:val="00782125"/>
    <w:rsid w:val="00792A34"/>
    <w:rsid w:val="007A7DCE"/>
    <w:rsid w:val="007D6E92"/>
    <w:rsid w:val="007D702F"/>
    <w:rsid w:val="008023E0"/>
    <w:rsid w:val="0080375C"/>
    <w:rsid w:val="008210E2"/>
    <w:rsid w:val="008220D5"/>
    <w:rsid w:val="00822B6E"/>
    <w:rsid w:val="008231CD"/>
    <w:rsid w:val="00843EBE"/>
    <w:rsid w:val="008525AC"/>
    <w:rsid w:val="0086505B"/>
    <w:rsid w:val="00887044"/>
    <w:rsid w:val="00893538"/>
    <w:rsid w:val="008A6ADE"/>
    <w:rsid w:val="008B05AC"/>
    <w:rsid w:val="008B228F"/>
    <w:rsid w:val="008C2565"/>
    <w:rsid w:val="008C5291"/>
    <w:rsid w:val="00936EAE"/>
    <w:rsid w:val="0094402E"/>
    <w:rsid w:val="00957AA7"/>
    <w:rsid w:val="00984EE1"/>
    <w:rsid w:val="009915D7"/>
    <w:rsid w:val="009B2992"/>
    <w:rsid w:val="009E7D1B"/>
    <w:rsid w:val="009F0812"/>
    <w:rsid w:val="00A04F1C"/>
    <w:rsid w:val="00A051F2"/>
    <w:rsid w:val="00A14A17"/>
    <w:rsid w:val="00A3147C"/>
    <w:rsid w:val="00A4114C"/>
    <w:rsid w:val="00A42208"/>
    <w:rsid w:val="00A429E0"/>
    <w:rsid w:val="00A6592D"/>
    <w:rsid w:val="00A85DAA"/>
    <w:rsid w:val="00AA5FC7"/>
    <w:rsid w:val="00AB72AC"/>
    <w:rsid w:val="00AC2D64"/>
    <w:rsid w:val="00AD594D"/>
    <w:rsid w:val="00B3172D"/>
    <w:rsid w:val="00B4052A"/>
    <w:rsid w:val="00B5130E"/>
    <w:rsid w:val="00B608F8"/>
    <w:rsid w:val="00B72FB8"/>
    <w:rsid w:val="00B755B2"/>
    <w:rsid w:val="00B8131B"/>
    <w:rsid w:val="00B9027C"/>
    <w:rsid w:val="00B913AB"/>
    <w:rsid w:val="00BA1E4B"/>
    <w:rsid w:val="00BB0438"/>
    <w:rsid w:val="00BF0A5B"/>
    <w:rsid w:val="00BF5F62"/>
    <w:rsid w:val="00C51128"/>
    <w:rsid w:val="00C60FFA"/>
    <w:rsid w:val="00C62FCF"/>
    <w:rsid w:val="00C77872"/>
    <w:rsid w:val="00C94C67"/>
    <w:rsid w:val="00C95494"/>
    <w:rsid w:val="00CB5B3B"/>
    <w:rsid w:val="00CC2144"/>
    <w:rsid w:val="00CD104A"/>
    <w:rsid w:val="00CD52BB"/>
    <w:rsid w:val="00D02BFA"/>
    <w:rsid w:val="00D12746"/>
    <w:rsid w:val="00D31D34"/>
    <w:rsid w:val="00D37A4C"/>
    <w:rsid w:val="00D71059"/>
    <w:rsid w:val="00D74BF5"/>
    <w:rsid w:val="00D75BBD"/>
    <w:rsid w:val="00D9747A"/>
    <w:rsid w:val="00DC0C20"/>
    <w:rsid w:val="00DC426C"/>
    <w:rsid w:val="00DC7F14"/>
    <w:rsid w:val="00DE2FAB"/>
    <w:rsid w:val="00DE75E1"/>
    <w:rsid w:val="00E03B46"/>
    <w:rsid w:val="00E06269"/>
    <w:rsid w:val="00E21300"/>
    <w:rsid w:val="00E417A0"/>
    <w:rsid w:val="00E42C5A"/>
    <w:rsid w:val="00E52398"/>
    <w:rsid w:val="00E53255"/>
    <w:rsid w:val="00E57DD7"/>
    <w:rsid w:val="00E60751"/>
    <w:rsid w:val="00E715EB"/>
    <w:rsid w:val="00E81DAF"/>
    <w:rsid w:val="00E87CC1"/>
    <w:rsid w:val="00EA1206"/>
    <w:rsid w:val="00EA1FB0"/>
    <w:rsid w:val="00EA3D09"/>
    <w:rsid w:val="00EA6AE2"/>
    <w:rsid w:val="00F04BA0"/>
    <w:rsid w:val="00F05DB3"/>
    <w:rsid w:val="00F14CD6"/>
    <w:rsid w:val="00F16282"/>
    <w:rsid w:val="00F35916"/>
    <w:rsid w:val="00F43E44"/>
    <w:rsid w:val="00F92875"/>
    <w:rsid w:val="00F9568A"/>
    <w:rsid w:val="00FD31CC"/>
    <w:rsid w:val="00FD51BC"/>
    <w:rsid w:val="00FE08B6"/>
    <w:rsid w:val="00FF3831"/>
    <w:rsid w:val="00FF56E2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E265"/>
  <w15:chartTrackingRefBased/>
  <w15:docId w15:val="{A51C8027-C3AB-4FCD-80E5-CDAFCA6B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C0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84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E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E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E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E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84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E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E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E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E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E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E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E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4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4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4E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E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4E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E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EE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632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3285"/>
  </w:style>
  <w:style w:type="paragraph" w:styleId="Stopka">
    <w:name w:val="footer"/>
    <w:basedOn w:val="Normalny"/>
    <w:link w:val="StopkaZnak"/>
    <w:uiPriority w:val="99"/>
    <w:unhideWhenUsed/>
    <w:rsid w:val="007632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3285"/>
  </w:style>
  <w:style w:type="paragraph" w:styleId="Tekstpodstawowy">
    <w:name w:val="Body Text"/>
    <w:basedOn w:val="Normalny"/>
    <w:link w:val="TekstpodstawowyZnak"/>
    <w:rsid w:val="001660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660D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rsid w:val="001660D5"/>
    <w:rPr>
      <w:color w:val="467886"/>
      <w:u w:val="single"/>
    </w:rPr>
  </w:style>
  <w:style w:type="character" w:styleId="Odwoaniedokomentarza">
    <w:name w:val="annotation reference"/>
    <w:rsid w:val="001660D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660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660D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70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F6D05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59"/>
    <w:rsid w:val="00C62FCF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6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61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ruspzh@pzh.gov.pl" TargetMode="External"/><Relationship Id="rId13" Type="http://schemas.openxmlformats.org/officeDocument/2006/relationships/hyperlink" Target="https://www.gov.pl/attachment/68ec4fe7-2368-4f2f-a2e5-f2df812780b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tut-bm.pl/adr-klasa-6-2-materialy-zakazne-jak-bezpiecznie-transportowac-niewidzialne-zagrozenie,art_553,1767129900,0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zh.gov.pl/wp-content/uploads/2025/06/zlecenie-badania-diagnostycznego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kancelaria@pzh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kobylinski@pzh.gov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C5573-F161-4B0C-BFFE-2DA3D8946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1336</Words>
  <Characters>8019</Characters>
  <Application>Microsoft Office Word</Application>
  <DocSecurity>4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Rozbicka Beata</dc:creator>
  <cp:keywords/>
  <dc:description/>
  <cp:lastModifiedBy>Kaczanowska Marta</cp:lastModifiedBy>
  <cp:revision>2</cp:revision>
  <cp:lastPrinted>2026-06-12T10:55:00Z</cp:lastPrinted>
  <dcterms:created xsi:type="dcterms:W3CDTF">2026-10-05T09:15:00Z</dcterms:created>
  <dcterms:modified xsi:type="dcterms:W3CDTF">2026-10-05T09:15:00Z</dcterms:modified>
</cp:coreProperties>
</file>